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91E" w:rsidRPr="00A85C87" w:rsidRDefault="00FF491E" w:rsidP="00A85C87">
      <w:pPr>
        <w:tabs>
          <w:tab w:val="center" w:pos="4536"/>
          <w:tab w:val="right" w:pos="9072"/>
        </w:tabs>
        <w:jc w:val="center"/>
        <w:rPr>
          <w:rFonts w:ascii="Times New Roman" w:hAnsi="Times New Roman"/>
          <w:b/>
          <w:i/>
          <w:sz w:val="24"/>
          <w:szCs w:val="24"/>
        </w:rPr>
      </w:pPr>
      <w:r w:rsidRPr="00A85C87">
        <w:rPr>
          <w:rFonts w:ascii="Times New Roman" w:hAnsi="Times New Roman"/>
          <w:b/>
          <w:sz w:val="24"/>
          <w:szCs w:val="24"/>
        </w:rPr>
        <w:t xml:space="preserve">Zestawienie uwag zgłoszonych w ramach uzgodnień międzyresortowych do projektu ustawy </w:t>
      </w:r>
      <w:r>
        <w:rPr>
          <w:rFonts w:ascii="Times New Roman" w:hAnsi="Times New Roman"/>
          <w:b/>
          <w:sz w:val="24"/>
          <w:szCs w:val="24"/>
        </w:rPr>
        <w:br/>
      </w:r>
      <w:r w:rsidRPr="00A85C87">
        <w:rPr>
          <w:rFonts w:ascii="Times New Roman" w:hAnsi="Times New Roman"/>
          <w:b/>
          <w:i/>
          <w:sz w:val="24"/>
          <w:szCs w:val="24"/>
        </w:rPr>
        <w:t>o zmianie ustawy – Kodeks spółek handlowych oraz ustawy o europejskim zgrupowaniu interesów gospodarczych i spółce europejskiej</w:t>
      </w:r>
      <w:r>
        <w:rPr>
          <w:rFonts w:ascii="Times New Roman" w:hAnsi="Times New Roman"/>
          <w:b/>
          <w:i/>
          <w:sz w:val="24"/>
          <w:szCs w:val="24"/>
        </w:rPr>
        <w:t xml:space="preserve"> </w:t>
      </w:r>
      <w:r w:rsidRPr="00A85C87">
        <w:rPr>
          <w:rFonts w:ascii="Times New Roman" w:hAnsi="Times New Roman"/>
          <w:b/>
          <w:sz w:val="24"/>
          <w:szCs w:val="24"/>
        </w:rPr>
        <w:t>(UD117)</w:t>
      </w:r>
      <w:r w:rsidR="008768CA" w:rsidRPr="008768CA">
        <w:t xml:space="preserve"> </w:t>
      </w:r>
      <w:r w:rsidR="008768CA" w:rsidRPr="008768CA">
        <w:rPr>
          <w:rFonts w:ascii="Times New Roman" w:hAnsi="Times New Roman"/>
          <w:b/>
          <w:sz w:val="24"/>
          <w:szCs w:val="24"/>
        </w:rPr>
        <w:t>wraz z ustaleniami dokonanymi w wyniku konferencji uzgodnieniowej</w:t>
      </w:r>
      <w:r w:rsidR="006C0537">
        <w:rPr>
          <w:rFonts w:ascii="Times New Roman" w:hAnsi="Times New Roman"/>
          <w:b/>
          <w:sz w:val="24"/>
          <w:szCs w:val="24"/>
        </w:rPr>
        <w:t xml:space="preserve"> w dniach 21-22 czerwca 2017 r.</w:t>
      </w:r>
    </w:p>
    <w:p w:rsidR="00FF491E" w:rsidRPr="00A85C87" w:rsidRDefault="00FF491E" w:rsidP="00A85C87">
      <w:pPr>
        <w:tabs>
          <w:tab w:val="center" w:pos="4536"/>
          <w:tab w:val="right" w:pos="9072"/>
        </w:tabs>
        <w:jc w:val="center"/>
        <w:rPr>
          <w:rFonts w:ascii="Times New Roman" w:hAnsi="Times New Roman"/>
          <w:b/>
          <w:sz w:val="18"/>
          <w:szCs w:val="20"/>
        </w:rPr>
      </w:pPr>
    </w:p>
    <w:p w:rsidR="00FF491E" w:rsidRPr="00A85C87" w:rsidRDefault="00FF491E" w:rsidP="00A85C87">
      <w:pPr>
        <w:tabs>
          <w:tab w:val="center" w:pos="4536"/>
          <w:tab w:val="right" w:pos="9072"/>
        </w:tabs>
        <w:jc w:val="center"/>
        <w:rPr>
          <w:rFonts w:ascii="Times New Roman" w:hAnsi="Times New Roman"/>
          <w:b/>
          <w:sz w:val="18"/>
          <w:szCs w:val="20"/>
        </w:rPr>
      </w:pPr>
    </w:p>
    <w:p w:rsidR="00FF491E" w:rsidRDefault="00FF491E" w:rsidP="00714028">
      <w:pPr>
        <w:tabs>
          <w:tab w:val="center" w:pos="4536"/>
          <w:tab w:val="right" w:pos="9072"/>
        </w:tabs>
        <w:rPr>
          <w:rFonts w:ascii="Times New Roman" w:hAnsi="Times New Roman"/>
          <w:b/>
          <w:sz w:val="18"/>
          <w:szCs w:val="20"/>
        </w:rPr>
      </w:pPr>
      <w:r w:rsidRPr="00A85C87">
        <w:rPr>
          <w:rFonts w:ascii="Times New Roman" w:hAnsi="Times New Roman"/>
          <w:b/>
          <w:sz w:val="18"/>
          <w:szCs w:val="20"/>
        </w:rPr>
        <w:t xml:space="preserve">KPRM – Kancelaria Prezesa Rady Ministrów </w:t>
      </w:r>
    </w:p>
    <w:p w:rsidR="00FF491E" w:rsidRPr="00A85C87" w:rsidRDefault="00FF491E" w:rsidP="00714028">
      <w:pPr>
        <w:tabs>
          <w:tab w:val="center" w:pos="4536"/>
          <w:tab w:val="right" w:pos="9072"/>
        </w:tabs>
        <w:rPr>
          <w:rFonts w:ascii="Times New Roman" w:hAnsi="Times New Roman"/>
          <w:b/>
          <w:sz w:val="18"/>
          <w:szCs w:val="20"/>
        </w:rPr>
      </w:pPr>
      <w:r w:rsidRPr="00A85C87">
        <w:rPr>
          <w:rFonts w:ascii="Times New Roman" w:hAnsi="Times New Roman"/>
          <w:b/>
          <w:sz w:val="18"/>
          <w:szCs w:val="20"/>
        </w:rPr>
        <w:t>MC - Ministerstwo Cyfryzacji</w:t>
      </w:r>
    </w:p>
    <w:p w:rsidR="00FF491E" w:rsidRPr="00A85C87" w:rsidRDefault="00FF491E" w:rsidP="004054DE">
      <w:pPr>
        <w:tabs>
          <w:tab w:val="center" w:pos="4536"/>
          <w:tab w:val="right" w:pos="9072"/>
        </w:tabs>
        <w:rPr>
          <w:rFonts w:ascii="Times New Roman" w:hAnsi="Times New Roman"/>
          <w:b/>
          <w:sz w:val="18"/>
          <w:szCs w:val="20"/>
        </w:rPr>
      </w:pPr>
      <w:r w:rsidRPr="00A85C87">
        <w:rPr>
          <w:rFonts w:ascii="Times New Roman" w:hAnsi="Times New Roman"/>
          <w:b/>
          <w:sz w:val="18"/>
          <w:szCs w:val="20"/>
        </w:rPr>
        <w:t>MR- Ministerstwo Rozwoju</w:t>
      </w:r>
    </w:p>
    <w:p w:rsidR="00FF491E" w:rsidRPr="00A85C87" w:rsidRDefault="00FF491E" w:rsidP="00714028">
      <w:pPr>
        <w:tabs>
          <w:tab w:val="center" w:pos="4536"/>
          <w:tab w:val="right" w:pos="9072"/>
        </w:tabs>
        <w:rPr>
          <w:rFonts w:ascii="Times New Roman" w:hAnsi="Times New Roman"/>
          <w:b/>
          <w:sz w:val="18"/>
          <w:szCs w:val="20"/>
        </w:rPr>
      </w:pPr>
      <w:proofErr w:type="spellStart"/>
      <w:r w:rsidRPr="00A85C87">
        <w:rPr>
          <w:rFonts w:ascii="Times New Roman" w:hAnsi="Times New Roman"/>
          <w:b/>
          <w:sz w:val="18"/>
          <w:szCs w:val="20"/>
        </w:rPr>
        <w:t>MRiRW</w:t>
      </w:r>
      <w:proofErr w:type="spellEnd"/>
      <w:r w:rsidRPr="00A85C87">
        <w:rPr>
          <w:rFonts w:ascii="Times New Roman" w:hAnsi="Times New Roman"/>
          <w:b/>
          <w:sz w:val="18"/>
          <w:szCs w:val="20"/>
        </w:rPr>
        <w:t>- Ministerstwo Rolnictwa i Rozwoju Wsi</w:t>
      </w:r>
    </w:p>
    <w:p w:rsidR="00CD1DC0" w:rsidRDefault="00FF491E" w:rsidP="00CD1DC0">
      <w:pPr>
        <w:tabs>
          <w:tab w:val="center" w:pos="4536"/>
          <w:tab w:val="right" w:pos="9072"/>
        </w:tabs>
        <w:rPr>
          <w:rFonts w:ascii="Times New Roman" w:hAnsi="Times New Roman"/>
          <w:b/>
          <w:sz w:val="18"/>
          <w:szCs w:val="20"/>
        </w:rPr>
      </w:pPr>
      <w:r w:rsidRPr="00A85C87">
        <w:rPr>
          <w:rFonts w:ascii="Times New Roman" w:hAnsi="Times New Roman"/>
          <w:b/>
          <w:sz w:val="18"/>
          <w:szCs w:val="20"/>
        </w:rPr>
        <w:t>MF - Ministerstwo Finansów</w:t>
      </w:r>
    </w:p>
    <w:p w:rsidR="00FF491E" w:rsidRPr="00CD1DC0" w:rsidRDefault="00FF491E" w:rsidP="00CD1DC0">
      <w:pPr>
        <w:tabs>
          <w:tab w:val="center" w:pos="4536"/>
          <w:tab w:val="right" w:pos="9072"/>
        </w:tabs>
        <w:rPr>
          <w:rFonts w:ascii="Times New Roman" w:hAnsi="Times New Roman"/>
          <w:b/>
          <w:sz w:val="18"/>
          <w:szCs w:val="18"/>
        </w:rPr>
      </w:pPr>
      <w:r w:rsidRPr="00CD1DC0">
        <w:rPr>
          <w:rFonts w:ascii="Times New Roman" w:hAnsi="Times New Roman"/>
          <w:b/>
          <w:sz w:val="18"/>
          <w:szCs w:val="18"/>
        </w:rPr>
        <w:t>RCL – Rządowe Centrum Legislacji</w:t>
      </w:r>
    </w:p>
    <w:tbl>
      <w:tblPr>
        <w:tblpPr w:leftFromText="141" w:rightFromText="141" w:vertAnchor="page" w:horzAnchor="margin" w:tblpY="32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2127"/>
        <w:gridCol w:w="1291"/>
        <w:gridCol w:w="6041"/>
        <w:gridCol w:w="5436"/>
      </w:tblGrid>
      <w:tr w:rsidR="00FF491E" w:rsidRPr="00ED613F" w:rsidTr="006C0537">
        <w:trPr>
          <w:trHeight w:val="838"/>
        </w:trPr>
        <w:tc>
          <w:tcPr>
            <w:tcW w:w="572" w:type="dxa"/>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L.P.</w:t>
            </w:r>
          </w:p>
        </w:tc>
        <w:tc>
          <w:tcPr>
            <w:tcW w:w="2127" w:type="dxa"/>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JEDNOSTKA REDAKCYJNA</w:t>
            </w:r>
          </w:p>
        </w:tc>
        <w:tc>
          <w:tcPr>
            <w:tcW w:w="1291" w:type="dxa"/>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AUTOR UWAGI</w:t>
            </w:r>
          </w:p>
        </w:tc>
        <w:tc>
          <w:tcPr>
            <w:tcW w:w="6041" w:type="dxa"/>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TREŚĆ UWAGI</w:t>
            </w:r>
          </w:p>
        </w:tc>
        <w:tc>
          <w:tcPr>
            <w:tcW w:w="5436" w:type="dxa"/>
          </w:tcPr>
          <w:p w:rsidR="00FF491E" w:rsidRPr="00ED613F" w:rsidRDefault="00E504E6" w:rsidP="00ED613F">
            <w:pPr>
              <w:spacing w:before="200" w:after="200" w:line="276" w:lineRule="auto"/>
              <w:jc w:val="center"/>
              <w:rPr>
                <w:rFonts w:ascii="Times New Roman" w:eastAsia="MS Mincho" w:hAnsi="Times New Roman"/>
                <w:b/>
                <w:sz w:val="20"/>
                <w:szCs w:val="20"/>
              </w:rPr>
            </w:pPr>
            <w:r>
              <w:rPr>
                <w:rFonts w:ascii="Times New Roman" w:eastAsia="MS Mincho" w:hAnsi="Times New Roman"/>
                <w:b/>
                <w:sz w:val="20"/>
                <w:szCs w:val="20"/>
              </w:rPr>
              <w:t>USTALENIA</w:t>
            </w:r>
          </w:p>
        </w:tc>
      </w:tr>
      <w:tr w:rsidR="00FF491E" w:rsidRPr="00ED613F" w:rsidTr="00ED613F">
        <w:trPr>
          <w:trHeight w:val="279"/>
        </w:trPr>
        <w:tc>
          <w:tcPr>
            <w:tcW w:w="15467" w:type="dxa"/>
            <w:gridSpan w:val="5"/>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I. UWAGI OGÓLNE</w:t>
            </w:r>
          </w:p>
        </w:tc>
      </w:tr>
      <w:tr w:rsidR="00FF491E" w:rsidRPr="00ED613F" w:rsidTr="00ED613F">
        <w:trPr>
          <w:trHeight w:val="210"/>
        </w:trPr>
        <w:tc>
          <w:tcPr>
            <w:tcW w:w="572" w:type="dxa"/>
          </w:tcPr>
          <w:p w:rsidR="00FF491E" w:rsidRPr="00ED613F" w:rsidRDefault="00FF491E" w:rsidP="00ED613F">
            <w:pPr>
              <w:jc w:val="center"/>
              <w:rPr>
                <w:rFonts w:ascii="Times New Roman" w:eastAsia="MS Mincho" w:hAnsi="Times New Roman"/>
                <w:sz w:val="20"/>
                <w:szCs w:val="20"/>
              </w:rPr>
            </w:pPr>
            <w:r w:rsidRPr="00ED613F">
              <w:rPr>
                <w:rFonts w:ascii="Times New Roman" w:eastAsia="MS Mincho" w:hAnsi="Times New Roman"/>
                <w:sz w:val="20"/>
                <w:szCs w:val="20"/>
              </w:rPr>
              <w:t>1.</w:t>
            </w:r>
          </w:p>
        </w:tc>
        <w:tc>
          <w:tcPr>
            <w:tcW w:w="2127" w:type="dxa"/>
          </w:tcPr>
          <w:p w:rsidR="00FF491E" w:rsidRPr="00ED613F" w:rsidRDefault="00FF491E" w:rsidP="00ED613F">
            <w:pPr>
              <w:rPr>
                <w:rFonts w:ascii="Times New Roman" w:eastAsia="MS Mincho" w:hAnsi="Times New Roman"/>
                <w:b/>
                <w:sz w:val="20"/>
                <w:szCs w:val="20"/>
              </w:rPr>
            </w:pPr>
            <w:r w:rsidRPr="00ED613F">
              <w:rPr>
                <w:rFonts w:ascii="Times New Roman" w:eastAsia="MS Mincho" w:hAnsi="Times New Roman"/>
                <w:b/>
                <w:sz w:val="20"/>
                <w:szCs w:val="20"/>
              </w:rPr>
              <w:t>(skutki wpisu w rejestrze / jawność rejestru akcjonariuszy)</w:t>
            </w:r>
          </w:p>
        </w:tc>
        <w:tc>
          <w:tcPr>
            <w:tcW w:w="1291" w:type="dxa"/>
          </w:tcPr>
          <w:p w:rsidR="00FF491E" w:rsidRPr="00ED613F" w:rsidRDefault="00FF491E" w:rsidP="00ED613F">
            <w:pPr>
              <w:jc w:val="center"/>
              <w:rPr>
                <w:rFonts w:ascii="Times New Roman" w:eastAsia="MS Mincho" w:hAnsi="Times New Roman"/>
                <w:b/>
                <w:sz w:val="20"/>
                <w:szCs w:val="20"/>
              </w:rPr>
            </w:pPr>
            <w:proofErr w:type="spellStart"/>
            <w:r w:rsidRPr="00ED613F">
              <w:rPr>
                <w:rFonts w:ascii="Times New Roman" w:eastAsia="MS Mincho" w:hAnsi="Times New Roman"/>
                <w:b/>
                <w:sz w:val="20"/>
                <w:szCs w:val="20"/>
              </w:rPr>
              <w:t>MRiRW</w:t>
            </w:r>
            <w:proofErr w:type="spellEnd"/>
            <w:r w:rsidRPr="00ED613F">
              <w:rPr>
                <w:rFonts w:ascii="Times New Roman" w:eastAsia="MS Mincho" w:hAnsi="Times New Roman"/>
                <w:b/>
                <w:sz w:val="20"/>
                <w:szCs w:val="20"/>
              </w:rPr>
              <w:t xml:space="preserve"> </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Przedmiotowym projektem ustawy w Kodeksie spółek handlowych wprowadza się „rejestr akcjonariuszy”. W obecnej treści projektu można jedynie przyjąć założenie, że wpisem w rejestrze jest również wykreślenie. W celu wyeliminowania wątpliwości, jakie pojawiają się w praktyce, należy rozważyć uwzględnienie w zmienianych przepisach Kodeksu spółek handlowych rozwiązań przyjętych w ustawie z dnia 20 sierpnia 1997 r. o Krajowym Rejestrze Sądowym (art. 20 ust. 4) oraz w Kodeksie postępowania cywilnego (art. 626</w:t>
            </w:r>
            <w:r w:rsidRPr="00ED613F">
              <w:rPr>
                <w:rFonts w:ascii="Times New Roman" w:eastAsia="MS Mincho" w:hAnsi="Times New Roman"/>
                <w:sz w:val="20"/>
                <w:szCs w:val="20"/>
                <w:vertAlign w:val="superscript"/>
              </w:rPr>
              <w:t>8</w:t>
            </w:r>
            <w:r w:rsidRPr="00ED613F">
              <w:rPr>
                <w:rFonts w:ascii="Times New Roman" w:eastAsia="MS Mincho" w:hAnsi="Times New Roman"/>
                <w:sz w:val="20"/>
                <w:szCs w:val="20"/>
              </w:rPr>
              <w:t xml:space="preserve"> § 7), w których wyraźnie wskazano, że wpisem w rejestrze jest również wykreślenie.</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Niezależnie od powyższego, poddaje się pod rozwagę zastosowanie w zmienianych przepisach Kodeksu spółek handlowych, dotyczących „rejestru akcjonariuszy”, regulacji zawartych w ustawie z dnia 20 sierpnia 1997 r. o Krajowym Rejestrze Sądowym w zakresie: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 skutków dokonania wpisów w rejestrze – art. 15 ustawy o KRS,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zasady prawdziwości wpisu – art. 17 ustawy o KRS,</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odpowiedzialności za nieprawidłowy wpis – art. 18 ustawy o KRS (w tym zakresie można ewentualnie zmienić treść art. 484 Kodeksu spółek handlowych).</w:t>
            </w:r>
          </w:p>
        </w:tc>
        <w:tc>
          <w:tcPr>
            <w:tcW w:w="5436" w:type="dxa"/>
          </w:tcPr>
          <w:p w:rsidR="00FF491E" w:rsidRPr="00ED613F" w:rsidRDefault="005E3F29" w:rsidP="00ED613F">
            <w:pPr>
              <w:jc w:val="both"/>
              <w:rPr>
                <w:rFonts w:ascii="Times New Roman" w:eastAsia="MS Mincho" w:hAnsi="Times New Roman"/>
                <w:sz w:val="20"/>
                <w:szCs w:val="20"/>
              </w:rPr>
            </w:pPr>
            <w:r>
              <w:rPr>
                <w:rFonts w:ascii="Times New Roman" w:eastAsia="MS Mincho" w:hAnsi="Times New Roman"/>
                <w:sz w:val="20"/>
                <w:szCs w:val="20"/>
              </w:rPr>
              <w:t>Wyjaśniono, że r</w:t>
            </w:r>
            <w:r w:rsidR="00FF491E" w:rsidRPr="00ED613F">
              <w:rPr>
                <w:rFonts w:ascii="Times New Roman" w:eastAsia="MS Mincho" w:hAnsi="Times New Roman"/>
                <w:sz w:val="20"/>
                <w:szCs w:val="20"/>
              </w:rPr>
              <w:t>ejestr akcjonariuszy, który proponuje się wprowadzić w oparciu o przepisy projektu</w:t>
            </w:r>
            <w:r>
              <w:rPr>
                <w:rFonts w:ascii="Times New Roman" w:eastAsia="MS Mincho" w:hAnsi="Times New Roman"/>
                <w:sz w:val="20"/>
                <w:szCs w:val="20"/>
              </w:rPr>
              <w:t>,</w:t>
            </w:r>
            <w:r w:rsidR="00FF491E" w:rsidRPr="00ED613F">
              <w:rPr>
                <w:rFonts w:ascii="Times New Roman" w:eastAsia="MS Mincho" w:hAnsi="Times New Roman"/>
                <w:sz w:val="20"/>
                <w:szCs w:val="20"/>
              </w:rPr>
              <w:t xml:space="preserve"> nie jest rejestrem stricte publicznym, takim jak np. jest Krajowy Rejestr Sądowy. KRS prowa</w:t>
            </w:r>
            <w:r>
              <w:rPr>
                <w:rFonts w:ascii="Times New Roman" w:eastAsia="MS Mincho" w:hAnsi="Times New Roman"/>
                <w:sz w:val="20"/>
                <w:szCs w:val="20"/>
              </w:rPr>
              <w:t>dzony jest przez sąd rejestrowy, a</w:t>
            </w:r>
            <w:r w:rsidR="00FF491E" w:rsidRPr="00ED613F">
              <w:rPr>
                <w:rFonts w:ascii="Times New Roman" w:eastAsia="MS Mincho" w:hAnsi="Times New Roman"/>
                <w:sz w:val="20"/>
                <w:szCs w:val="20"/>
              </w:rPr>
              <w:t xml:space="preserve"> rejestr akcjonariuszy będzie prowadzony przez podmioty prywatne.</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W przypadku tego rejestru spółka, dla której i na której zlecenie taki rejestr akcjonariuszy będzie prowadzony</w:t>
            </w:r>
            <w:r w:rsidR="005E3F29">
              <w:rPr>
                <w:rFonts w:ascii="Times New Roman" w:eastAsia="MS Mincho" w:hAnsi="Times New Roman"/>
                <w:sz w:val="20"/>
                <w:szCs w:val="20"/>
              </w:rPr>
              <w:t>,</w:t>
            </w:r>
            <w:r w:rsidRPr="00ED613F">
              <w:rPr>
                <w:rFonts w:ascii="Times New Roman" w:eastAsia="MS Mincho" w:hAnsi="Times New Roman"/>
                <w:sz w:val="20"/>
                <w:szCs w:val="20"/>
              </w:rPr>
              <w:t xml:space="preserve"> stanie się jego „gospodarzem”.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Projekt został w tym zakresie oparty o rozwiązania, które f</w:t>
            </w:r>
            <w:r w:rsidR="003F3B7E">
              <w:rPr>
                <w:rFonts w:ascii="Times New Roman" w:eastAsia="MS Mincho" w:hAnsi="Times New Roman"/>
                <w:sz w:val="20"/>
                <w:szCs w:val="20"/>
              </w:rPr>
              <w:t>unkcjonują w obrocie publicznym</w:t>
            </w:r>
            <w:r w:rsidRPr="00ED613F">
              <w:rPr>
                <w:rFonts w:ascii="Times New Roman" w:eastAsia="MS Mincho" w:hAnsi="Times New Roman"/>
                <w:sz w:val="20"/>
                <w:szCs w:val="20"/>
              </w:rPr>
              <w:t xml:space="preserve"> od 20 lat i które sprawdziły się w praktyce. </w:t>
            </w:r>
          </w:p>
          <w:p w:rsidR="00FF491E" w:rsidRDefault="00406127" w:rsidP="00ED613F">
            <w:pPr>
              <w:jc w:val="both"/>
              <w:rPr>
                <w:rFonts w:ascii="Times New Roman" w:eastAsia="MS Mincho" w:hAnsi="Times New Roman"/>
                <w:sz w:val="20"/>
                <w:szCs w:val="20"/>
              </w:rPr>
            </w:pPr>
            <w:r>
              <w:rPr>
                <w:rFonts w:ascii="Times New Roman" w:eastAsia="MS Mincho" w:hAnsi="Times New Roman"/>
                <w:sz w:val="20"/>
                <w:szCs w:val="20"/>
              </w:rPr>
              <w:t>P</w:t>
            </w:r>
            <w:r w:rsidR="00FF491E" w:rsidRPr="00ED613F">
              <w:rPr>
                <w:rFonts w:ascii="Times New Roman" w:eastAsia="MS Mincho" w:hAnsi="Times New Roman"/>
                <w:sz w:val="20"/>
                <w:szCs w:val="20"/>
              </w:rPr>
              <w:t>odkreśl</w:t>
            </w:r>
            <w:r>
              <w:rPr>
                <w:rFonts w:ascii="Times New Roman" w:eastAsia="MS Mincho" w:hAnsi="Times New Roman"/>
                <w:sz w:val="20"/>
                <w:szCs w:val="20"/>
              </w:rPr>
              <w:t>ono, że</w:t>
            </w:r>
            <w:r w:rsidR="00FF491E" w:rsidRPr="00ED613F">
              <w:rPr>
                <w:rFonts w:ascii="Times New Roman" w:eastAsia="MS Mincho" w:hAnsi="Times New Roman"/>
                <w:sz w:val="20"/>
                <w:szCs w:val="20"/>
              </w:rPr>
              <w:t xml:space="preserve"> zaproponowane rozwiązania są znacznie bezpieczniejsze niż system księgi akcyjnej obowiązujący obecnie w oparciu o art. 341 </w:t>
            </w:r>
            <w:proofErr w:type="spellStart"/>
            <w:r w:rsidR="00A0588C">
              <w:rPr>
                <w:rFonts w:ascii="Times New Roman" w:eastAsia="MS Mincho" w:hAnsi="Times New Roman"/>
                <w:sz w:val="20"/>
                <w:szCs w:val="20"/>
              </w:rPr>
              <w:t>k</w:t>
            </w:r>
            <w:r w:rsidR="00FF491E" w:rsidRPr="00ED613F">
              <w:rPr>
                <w:rFonts w:ascii="Times New Roman" w:eastAsia="MS Mincho" w:hAnsi="Times New Roman"/>
                <w:sz w:val="20"/>
                <w:szCs w:val="20"/>
              </w:rPr>
              <w:t>.s.h</w:t>
            </w:r>
            <w:proofErr w:type="spellEnd"/>
            <w:r w:rsidR="00FF491E" w:rsidRPr="00ED613F">
              <w:rPr>
                <w:rFonts w:ascii="Times New Roman" w:eastAsia="MS Mincho" w:hAnsi="Times New Roman"/>
                <w:sz w:val="20"/>
                <w:szCs w:val="20"/>
              </w:rPr>
              <w:t xml:space="preserve">. </w:t>
            </w:r>
          </w:p>
          <w:p w:rsidR="003F3B7E" w:rsidRDefault="003F3B7E" w:rsidP="00ED613F">
            <w:pPr>
              <w:jc w:val="both"/>
              <w:rPr>
                <w:rFonts w:ascii="Times New Roman" w:eastAsia="MS Mincho" w:hAnsi="Times New Roman"/>
                <w:sz w:val="20"/>
                <w:szCs w:val="20"/>
              </w:rPr>
            </w:pPr>
          </w:p>
          <w:p w:rsidR="003F3B7E" w:rsidRPr="00ED613F" w:rsidRDefault="003F3B7E" w:rsidP="00ED613F">
            <w:pPr>
              <w:jc w:val="both"/>
              <w:rPr>
                <w:rFonts w:ascii="Times New Roman" w:eastAsia="MS Mincho" w:hAnsi="Times New Roman"/>
                <w:color w:val="FF0000"/>
                <w:sz w:val="20"/>
                <w:szCs w:val="20"/>
              </w:rPr>
            </w:pPr>
          </w:p>
        </w:tc>
      </w:tr>
      <w:tr w:rsidR="00FF491E" w:rsidRPr="00ED613F" w:rsidTr="00ED613F">
        <w:trPr>
          <w:trHeight w:val="558"/>
        </w:trPr>
        <w:tc>
          <w:tcPr>
            <w:tcW w:w="572" w:type="dxa"/>
          </w:tcPr>
          <w:p w:rsidR="00FF491E" w:rsidRPr="00ED613F" w:rsidRDefault="00FF491E" w:rsidP="00ED613F">
            <w:pPr>
              <w:jc w:val="center"/>
              <w:rPr>
                <w:rFonts w:ascii="Times New Roman" w:eastAsia="MS Mincho" w:hAnsi="Times New Roman"/>
                <w:sz w:val="20"/>
                <w:szCs w:val="20"/>
              </w:rPr>
            </w:pPr>
            <w:r w:rsidRPr="00ED613F">
              <w:rPr>
                <w:rFonts w:ascii="Times New Roman" w:eastAsia="MS Mincho" w:hAnsi="Times New Roman"/>
                <w:sz w:val="20"/>
                <w:szCs w:val="20"/>
              </w:rPr>
              <w:t>2.</w:t>
            </w:r>
          </w:p>
        </w:tc>
        <w:tc>
          <w:tcPr>
            <w:tcW w:w="2127" w:type="dxa"/>
          </w:tcPr>
          <w:p w:rsidR="00FF491E" w:rsidRPr="00ED613F" w:rsidRDefault="00FF491E" w:rsidP="00ED613F">
            <w:pPr>
              <w:rPr>
                <w:rFonts w:ascii="Times New Roman" w:eastAsia="MS Mincho" w:hAnsi="Times New Roman"/>
                <w:b/>
                <w:sz w:val="20"/>
                <w:szCs w:val="20"/>
              </w:rPr>
            </w:pPr>
            <w:r w:rsidRPr="00ED613F">
              <w:rPr>
                <w:rFonts w:ascii="Times New Roman" w:eastAsia="MS Mincho" w:hAnsi="Times New Roman"/>
                <w:b/>
                <w:sz w:val="20"/>
                <w:szCs w:val="20"/>
              </w:rPr>
              <w:t>(zakres dematerializacji / objęcie zakresem projektu akcji imiennych)</w:t>
            </w: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862880" w:rsidP="00ED613F">
            <w:pPr>
              <w:rPr>
                <w:rFonts w:ascii="Times New Roman" w:eastAsia="MS Mincho" w:hAnsi="Times New Roman"/>
                <w:b/>
                <w:sz w:val="20"/>
                <w:szCs w:val="20"/>
              </w:rPr>
            </w:pPr>
            <w:r>
              <w:rPr>
                <w:rFonts w:ascii="Times New Roman" w:eastAsia="MS Mincho" w:hAnsi="Times New Roman"/>
                <w:b/>
                <w:sz w:val="20"/>
                <w:szCs w:val="20"/>
              </w:rPr>
              <w:t>(</w:t>
            </w:r>
            <w:r w:rsidR="00FF491E" w:rsidRPr="00ED613F">
              <w:rPr>
                <w:rFonts w:ascii="Times New Roman" w:eastAsia="MS Mincho" w:hAnsi="Times New Roman"/>
                <w:b/>
                <w:sz w:val="20"/>
                <w:szCs w:val="20"/>
              </w:rPr>
              <w:t>potrzeba nowelizacji K.c. odnośnie do reżimu papierów wartościowych)</w:t>
            </w: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r w:rsidRPr="00ED613F">
              <w:rPr>
                <w:rFonts w:ascii="Times New Roman" w:eastAsia="MS Mincho" w:hAnsi="Times New Roman"/>
                <w:b/>
                <w:sz w:val="20"/>
                <w:szCs w:val="20"/>
              </w:rPr>
              <w:t xml:space="preserve">   </w:t>
            </w:r>
          </w:p>
          <w:p w:rsidR="00FF491E" w:rsidRPr="00ED613F" w:rsidRDefault="00FF491E" w:rsidP="00ED613F">
            <w:pPr>
              <w:rPr>
                <w:rFonts w:ascii="Times New Roman" w:eastAsia="MS Mincho" w:hAnsi="Times New Roman"/>
                <w:b/>
                <w:sz w:val="20"/>
                <w:szCs w:val="20"/>
              </w:rPr>
            </w:pPr>
          </w:p>
          <w:p w:rsidR="00FF491E" w:rsidRDefault="00FF491E" w:rsidP="00ED613F">
            <w:pPr>
              <w:rPr>
                <w:rFonts w:ascii="Times New Roman" w:eastAsia="MS Mincho" w:hAnsi="Times New Roman"/>
                <w:b/>
                <w:sz w:val="20"/>
                <w:szCs w:val="20"/>
              </w:rPr>
            </w:pPr>
          </w:p>
          <w:p w:rsidR="00920B86" w:rsidRPr="00ED613F" w:rsidRDefault="00920B86" w:rsidP="00ED613F">
            <w:pPr>
              <w:rPr>
                <w:rFonts w:ascii="Times New Roman" w:eastAsia="MS Mincho" w:hAnsi="Times New Roman"/>
                <w:b/>
                <w:sz w:val="20"/>
                <w:szCs w:val="20"/>
              </w:rPr>
            </w:pPr>
          </w:p>
          <w:p w:rsidR="00C70600" w:rsidRDefault="00C70600"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r w:rsidRPr="00ED613F">
              <w:rPr>
                <w:rFonts w:ascii="Times New Roman" w:eastAsia="MS Mincho" w:hAnsi="Times New Roman"/>
                <w:b/>
                <w:sz w:val="20"/>
                <w:szCs w:val="20"/>
              </w:rPr>
              <w:t>(reżim przenoszenia praw z akcji zdematerializowanych i ochrona nabywcy</w:t>
            </w:r>
            <w:r w:rsidRPr="00ED613F">
              <w:rPr>
                <w:rFonts w:ascii="Times New Roman" w:eastAsia="MS Mincho" w:hAnsi="Times New Roman"/>
                <w:b/>
                <w:i/>
                <w:sz w:val="20"/>
                <w:szCs w:val="20"/>
              </w:rPr>
              <w:t xml:space="preserve"> ex </w:t>
            </w:r>
            <w:proofErr w:type="spellStart"/>
            <w:r w:rsidRPr="00ED613F">
              <w:rPr>
                <w:rFonts w:ascii="Times New Roman" w:eastAsia="MS Mincho" w:hAnsi="Times New Roman"/>
                <w:b/>
                <w:i/>
                <w:sz w:val="20"/>
                <w:szCs w:val="20"/>
              </w:rPr>
              <w:t>fide</w:t>
            </w:r>
            <w:proofErr w:type="spellEnd"/>
            <w:r w:rsidRPr="00ED613F">
              <w:rPr>
                <w:rFonts w:ascii="Times New Roman" w:eastAsia="MS Mincho" w:hAnsi="Times New Roman"/>
                <w:b/>
                <w:i/>
                <w:sz w:val="20"/>
                <w:szCs w:val="20"/>
              </w:rPr>
              <w:t xml:space="preserve"> bona</w:t>
            </w:r>
            <w:r w:rsidRPr="00ED613F">
              <w:rPr>
                <w:rFonts w:ascii="Times New Roman" w:eastAsia="MS Mincho" w:hAnsi="Times New Roman"/>
                <w:b/>
                <w:sz w:val="20"/>
                <w:szCs w:val="20"/>
              </w:rPr>
              <w:t>)</w:t>
            </w: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Default="00FF491E" w:rsidP="00ED613F">
            <w:pPr>
              <w:rPr>
                <w:rFonts w:ascii="Times New Roman" w:eastAsia="MS Mincho" w:hAnsi="Times New Roman"/>
                <w:b/>
                <w:sz w:val="20"/>
                <w:szCs w:val="20"/>
              </w:rPr>
            </w:pPr>
          </w:p>
          <w:p w:rsidR="00600B13" w:rsidRDefault="00600B13" w:rsidP="00ED613F">
            <w:pPr>
              <w:rPr>
                <w:rFonts w:ascii="Times New Roman" w:eastAsia="MS Mincho" w:hAnsi="Times New Roman"/>
                <w:b/>
                <w:sz w:val="20"/>
                <w:szCs w:val="20"/>
              </w:rPr>
            </w:pPr>
          </w:p>
          <w:p w:rsidR="00600B13" w:rsidRDefault="00600B13" w:rsidP="00ED613F">
            <w:pPr>
              <w:rPr>
                <w:rFonts w:ascii="Times New Roman" w:eastAsia="MS Mincho" w:hAnsi="Times New Roman"/>
                <w:b/>
                <w:sz w:val="20"/>
                <w:szCs w:val="20"/>
              </w:rPr>
            </w:pPr>
          </w:p>
          <w:p w:rsidR="00600B13" w:rsidRDefault="00600B13" w:rsidP="00ED613F">
            <w:pPr>
              <w:rPr>
                <w:rFonts w:ascii="Times New Roman" w:eastAsia="MS Mincho" w:hAnsi="Times New Roman"/>
                <w:b/>
                <w:sz w:val="20"/>
                <w:szCs w:val="20"/>
              </w:rPr>
            </w:pPr>
          </w:p>
          <w:p w:rsidR="00600B13" w:rsidRDefault="00600B13" w:rsidP="00ED613F">
            <w:pPr>
              <w:rPr>
                <w:rFonts w:ascii="Times New Roman" w:eastAsia="MS Mincho" w:hAnsi="Times New Roman"/>
                <w:b/>
                <w:sz w:val="20"/>
                <w:szCs w:val="20"/>
              </w:rPr>
            </w:pPr>
          </w:p>
          <w:p w:rsidR="00600B13" w:rsidRPr="00ED613F" w:rsidRDefault="00600B13" w:rsidP="00ED613F">
            <w:pPr>
              <w:rPr>
                <w:rFonts w:ascii="Times New Roman" w:eastAsia="MS Mincho" w:hAnsi="Times New Roman"/>
                <w:b/>
                <w:sz w:val="20"/>
                <w:szCs w:val="20"/>
              </w:rPr>
            </w:pPr>
          </w:p>
          <w:p w:rsidR="00FF491E" w:rsidRDefault="00FF491E" w:rsidP="00ED613F">
            <w:pPr>
              <w:rPr>
                <w:rFonts w:ascii="Times New Roman" w:eastAsia="MS Mincho" w:hAnsi="Times New Roman"/>
                <w:b/>
                <w:sz w:val="20"/>
                <w:szCs w:val="20"/>
              </w:rPr>
            </w:pPr>
          </w:p>
          <w:p w:rsidR="009313B7" w:rsidRPr="00ED613F" w:rsidRDefault="009313B7"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p>
          <w:p w:rsidR="00FF491E" w:rsidRPr="00ED613F" w:rsidRDefault="00FF491E" w:rsidP="00ED613F">
            <w:pPr>
              <w:rPr>
                <w:rFonts w:ascii="Times New Roman" w:eastAsia="MS Mincho" w:hAnsi="Times New Roman"/>
                <w:b/>
                <w:sz w:val="20"/>
                <w:szCs w:val="20"/>
              </w:rPr>
            </w:pPr>
            <w:r w:rsidRPr="00ED613F">
              <w:rPr>
                <w:rFonts w:ascii="Times New Roman" w:eastAsia="MS Mincho" w:hAnsi="Times New Roman"/>
                <w:b/>
                <w:sz w:val="20"/>
                <w:szCs w:val="20"/>
              </w:rPr>
              <w:t>(mechanizm efektywnej egzekucji wpisu)</w:t>
            </w:r>
          </w:p>
        </w:tc>
        <w:tc>
          <w:tcPr>
            <w:tcW w:w="1291"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lastRenderedPageBreak/>
              <w:t>MR</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Wątpliwości co do potrzeby dematerializacji akcji imiennych. Projektodawca odstąpił od koncepcji fakultatywnej dematerializacji akcji imiennych, na której opierały się założenia legislacyjne z dnia 9 lutego 2015 r. W uzasadnieniu nie wyjaśniono, dlaczego projektodawca zdecydował się na wprowadzenie przymusowej dematerializacji wszystkich akcji. Wydaje się, że rezygnacja z umożliwienia zachowania </w:t>
            </w:r>
            <w:r w:rsidRPr="00ED613F">
              <w:rPr>
                <w:rFonts w:ascii="Times New Roman" w:eastAsia="MS Mincho" w:hAnsi="Times New Roman"/>
                <w:sz w:val="20"/>
                <w:szCs w:val="20"/>
              </w:rPr>
              <w:lastRenderedPageBreak/>
              <w:t>formy tradycyjnej dla akcji imiennych wymaga pogłębionej analizy korzyści oraz zagrożeń z tym związanych.</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Proponowanych zmian nie można uznać za jedynie techniczne - mają one charakter systemowy, gdyż dotyczą sposobu wykonywania praw z akcji oraz ich obrotu w przypadku niepublicznych spółek akcyjnych.</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Wiążą się jednocześnie z powstaniem kosztów po stronie przedsiębiorców, wynikających chociażby z konieczności prowadzenia rejestru akcjonariuszy. Dokonanie dodatkowej analizy jest tym bardziej wskazane, że z przedstawionego w OSR przeglądu rozwiązań przyjętych w innych krajach wynika, że w większości z nich przejrzystość akcjonariatu gwarantowana jest nie poprzez obligatoryjną dematerializację akcji imiennych ale poprzez odejście od koncepcji akcji na okaziciela w ogóle (np. Wielka Brytania, Czechy, Belgia).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Dodatkowo, w niektórych systemach wprowadzono możliwość wyboru przez akcjonariusza wariantu rozstrzygnięcia tej kwestii (np. Czechy). Warto też dodać, że w odniesieniu do obligacji (art. 5a ustawy o obligacjach), bankowych papierów wartościowych (art. 90 ustawy – Prawo bankowe) oraz niepublicznych certyfikatów inwestycyjnych (art. 123 ustawy o funduszach inwestycyjnych) przyjęto opcjonalną dematerializację.</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W związku z proponowanymi w opiniowanym projekcie rozwiązaniami należałoby, w ocenie MR, rozważyć potrzebę nowelizacji regulacji Kodeksu cywilnego dotyczących papierów wartościowych i unormowania tam zdematerializowanych papierów wartościowych. Na gruncie przepisów projektu nie jest jasne, jaki przewiduje się mechanizm obrotu akcjami zdematerializowanymi i czy gwarantują one ochronę nabywcy w dobrej wierze od nieuprawnionego.</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  </w:t>
            </w:r>
          </w:p>
          <w:p w:rsidR="00FF491E" w:rsidRPr="00ED613F" w:rsidRDefault="00FF491E" w:rsidP="00ED613F">
            <w:pPr>
              <w:jc w:val="both"/>
              <w:rPr>
                <w:rFonts w:ascii="Times New Roman" w:eastAsia="MS Mincho" w:hAnsi="Times New Roman"/>
                <w:sz w:val="20"/>
                <w:szCs w:val="20"/>
              </w:rPr>
            </w:pPr>
          </w:p>
          <w:p w:rsidR="00FF491E" w:rsidRDefault="00FF491E" w:rsidP="00ED613F">
            <w:pPr>
              <w:jc w:val="both"/>
              <w:rPr>
                <w:rFonts w:ascii="Times New Roman" w:eastAsia="MS Mincho" w:hAnsi="Times New Roman"/>
                <w:sz w:val="20"/>
                <w:szCs w:val="20"/>
              </w:rPr>
            </w:pPr>
          </w:p>
          <w:p w:rsidR="00920B86" w:rsidRPr="00ED613F" w:rsidRDefault="00920B86"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Warto rozważyć wprowadzenie, w odniesieniu do zdematerializowanych akcji, szczególnej regulacji przełamującej zasadę </w:t>
            </w:r>
            <w:proofErr w:type="spellStart"/>
            <w:r w:rsidRPr="00ED613F">
              <w:rPr>
                <w:rFonts w:ascii="Times New Roman" w:eastAsia="MS Mincho" w:hAnsi="Times New Roman"/>
                <w:i/>
                <w:sz w:val="20"/>
                <w:szCs w:val="20"/>
              </w:rPr>
              <w:t>nemo</w:t>
            </w:r>
            <w:proofErr w:type="spellEnd"/>
            <w:r w:rsidRPr="00ED613F">
              <w:rPr>
                <w:rFonts w:ascii="Times New Roman" w:eastAsia="MS Mincho" w:hAnsi="Times New Roman"/>
                <w:i/>
                <w:sz w:val="20"/>
                <w:szCs w:val="20"/>
              </w:rPr>
              <w:t xml:space="preserve"> plus iuris in </w:t>
            </w:r>
            <w:proofErr w:type="spellStart"/>
            <w:r w:rsidRPr="00ED613F">
              <w:rPr>
                <w:rFonts w:ascii="Times New Roman" w:eastAsia="MS Mincho" w:hAnsi="Times New Roman"/>
                <w:i/>
                <w:sz w:val="20"/>
                <w:szCs w:val="20"/>
              </w:rPr>
              <w:t>alium</w:t>
            </w:r>
            <w:proofErr w:type="spellEnd"/>
            <w:r w:rsidRPr="00ED613F">
              <w:rPr>
                <w:rFonts w:ascii="Times New Roman" w:eastAsia="MS Mincho" w:hAnsi="Times New Roman"/>
                <w:i/>
                <w:sz w:val="20"/>
                <w:szCs w:val="20"/>
              </w:rPr>
              <w:t xml:space="preserve"> </w:t>
            </w:r>
            <w:proofErr w:type="spellStart"/>
            <w:r w:rsidRPr="00ED613F">
              <w:rPr>
                <w:rFonts w:ascii="Times New Roman" w:eastAsia="MS Mincho" w:hAnsi="Times New Roman"/>
                <w:i/>
                <w:sz w:val="20"/>
                <w:szCs w:val="20"/>
              </w:rPr>
              <w:t>transferre</w:t>
            </w:r>
            <w:proofErr w:type="spellEnd"/>
            <w:r w:rsidRPr="00ED613F">
              <w:rPr>
                <w:rFonts w:ascii="Times New Roman" w:eastAsia="MS Mincho" w:hAnsi="Times New Roman"/>
                <w:i/>
                <w:sz w:val="20"/>
                <w:szCs w:val="20"/>
              </w:rPr>
              <w:t xml:space="preserve"> </w:t>
            </w:r>
            <w:proofErr w:type="spellStart"/>
            <w:r w:rsidRPr="00ED613F">
              <w:rPr>
                <w:rFonts w:ascii="Times New Roman" w:eastAsia="MS Mincho" w:hAnsi="Times New Roman"/>
                <w:i/>
                <w:sz w:val="20"/>
                <w:szCs w:val="20"/>
              </w:rPr>
              <w:t>potest</w:t>
            </w:r>
            <w:proofErr w:type="spellEnd"/>
            <w:r w:rsidRPr="00ED613F">
              <w:rPr>
                <w:rFonts w:ascii="Times New Roman" w:eastAsia="MS Mincho" w:hAnsi="Times New Roman"/>
                <w:i/>
                <w:sz w:val="20"/>
                <w:szCs w:val="20"/>
              </w:rPr>
              <w:t xml:space="preserve"> </w:t>
            </w:r>
            <w:proofErr w:type="spellStart"/>
            <w:r w:rsidRPr="00ED613F">
              <w:rPr>
                <w:rFonts w:ascii="Times New Roman" w:eastAsia="MS Mincho" w:hAnsi="Times New Roman"/>
                <w:i/>
                <w:sz w:val="20"/>
                <w:szCs w:val="20"/>
              </w:rPr>
              <w:t>quam</w:t>
            </w:r>
            <w:proofErr w:type="spellEnd"/>
            <w:r w:rsidRPr="00ED613F">
              <w:rPr>
                <w:rFonts w:ascii="Times New Roman" w:eastAsia="MS Mincho" w:hAnsi="Times New Roman"/>
                <w:i/>
                <w:sz w:val="20"/>
                <w:szCs w:val="20"/>
              </w:rPr>
              <w:t xml:space="preserve"> </w:t>
            </w:r>
            <w:proofErr w:type="spellStart"/>
            <w:r w:rsidRPr="00ED613F">
              <w:rPr>
                <w:rFonts w:ascii="Times New Roman" w:eastAsia="MS Mincho" w:hAnsi="Times New Roman"/>
                <w:i/>
                <w:sz w:val="20"/>
                <w:szCs w:val="20"/>
              </w:rPr>
              <w:t>ipse</w:t>
            </w:r>
            <w:proofErr w:type="spellEnd"/>
            <w:r w:rsidRPr="00ED613F">
              <w:rPr>
                <w:rFonts w:ascii="Times New Roman" w:eastAsia="MS Mincho" w:hAnsi="Times New Roman"/>
                <w:i/>
                <w:sz w:val="20"/>
                <w:szCs w:val="20"/>
              </w:rPr>
              <w:t xml:space="preserve"> </w:t>
            </w:r>
            <w:proofErr w:type="spellStart"/>
            <w:r w:rsidRPr="00ED613F">
              <w:rPr>
                <w:rFonts w:ascii="Times New Roman" w:eastAsia="MS Mincho" w:hAnsi="Times New Roman"/>
                <w:i/>
                <w:sz w:val="20"/>
                <w:szCs w:val="20"/>
              </w:rPr>
              <w:t>habet</w:t>
            </w:r>
            <w:proofErr w:type="spellEnd"/>
            <w:r w:rsidRPr="00ED613F">
              <w:rPr>
                <w:rFonts w:ascii="Times New Roman" w:eastAsia="MS Mincho" w:hAnsi="Times New Roman"/>
                <w:sz w:val="20"/>
                <w:szCs w:val="20"/>
              </w:rPr>
              <w:t xml:space="preserve">. Za pewien anachronizm można bowiem uznać stosowanie w stosunku do papierów wartościowych przepisów prawa rzeczowego w zakresie możliwości nabycia prawa związanego z papierem wartościowym </w:t>
            </w:r>
            <w:r w:rsidRPr="00ED613F">
              <w:rPr>
                <w:rFonts w:ascii="Times New Roman" w:eastAsia="MS Mincho" w:hAnsi="Times New Roman"/>
                <w:i/>
                <w:sz w:val="20"/>
                <w:szCs w:val="20"/>
              </w:rPr>
              <w:t xml:space="preserve">ex </w:t>
            </w:r>
            <w:proofErr w:type="spellStart"/>
            <w:r w:rsidRPr="00ED613F">
              <w:rPr>
                <w:rFonts w:ascii="Times New Roman" w:eastAsia="MS Mincho" w:hAnsi="Times New Roman"/>
                <w:i/>
                <w:sz w:val="20"/>
                <w:szCs w:val="20"/>
              </w:rPr>
              <w:t>fide</w:t>
            </w:r>
            <w:proofErr w:type="spellEnd"/>
            <w:r w:rsidRPr="00ED613F">
              <w:rPr>
                <w:rFonts w:ascii="Times New Roman" w:eastAsia="MS Mincho" w:hAnsi="Times New Roman"/>
                <w:i/>
                <w:sz w:val="20"/>
                <w:szCs w:val="20"/>
              </w:rPr>
              <w:t xml:space="preserve"> bona</w:t>
            </w:r>
            <w:r w:rsidRPr="00ED613F">
              <w:rPr>
                <w:rFonts w:ascii="Times New Roman" w:eastAsia="MS Mincho" w:hAnsi="Times New Roman"/>
                <w:sz w:val="20"/>
                <w:szCs w:val="20"/>
              </w:rPr>
              <w:t xml:space="preserve"> (art.169 k.c.). </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Default="00FF491E" w:rsidP="00ED613F">
            <w:pPr>
              <w:jc w:val="both"/>
              <w:rPr>
                <w:rFonts w:ascii="Times New Roman" w:eastAsia="MS Mincho" w:hAnsi="Times New Roman"/>
                <w:sz w:val="20"/>
                <w:szCs w:val="20"/>
              </w:rPr>
            </w:pPr>
          </w:p>
          <w:p w:rsidR="00600B13" w:rsidRDefault="00600B13" w:rsidP="00ED613F">
            <w:pPr>
              <w:jc w:val="both"/>
              <w:rPr>
                <w:rFonts w:ascii="Times New Roman" w:eastAsia="MS Mincho" w:hAnsi="Times New Roman"/>
                <w:sz w:val="20"/>
                <w:szCs w:val="20"/>
              </w:rPr>
            </w:pPr>
          </w:p>
          <w:p w:rsidR="00600B13" w:rsidRDefault="00600B13" w:rsidP="00ED613F">
            <w:pPr>
              <w:jc w:val="both"/>
              <w:rPr>
                <w:rFonts w:ascii="Times New Roman" w:eastAsia="MS Mincho" w:hAnsi="Times New Roman"/>
                <w:sz w:val="20"/>
                <w:szCs w:val="20"/>
              </w:rPr>
            </w:pPr>
          </w:p>
          <w:p w:rsidR="00600B13" w:rsidRPr="00ED613F" w:rsidRDefault="00600B13"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Default="00FF491E" w:rsidP="00ED613F">
            <w:pPr>
              <w:jc w:val="both"/>
              <w:rPr>
                <w:rFonts w:ascii="Times New Roman" w:eastAsia="MS Mincho" w:hAnsi="Times New Roman"/>
                <w:sz w:val="20"/>
                <w:szCs w:val="20"/>
              </w:rPr>
            </w:pPr>
          </w:p>
          <w:p w:rsidR="00600B13" w:rsidRDefault="00600B13" w:rsidP="00ED613F">
            <w:pPr>
              <w:jc w:val="both"/>
              <w:rPr>
                <w:rFonts w:ascii="Times New Roman" w:eastAsia="MS Mincho" w:hAnsi="Times New Roman"/>
                <w:sz w:val="20"/>
                <w:szCs w:val="20"/>
              </w:rPr>
            </w:pPr>
          </w:p>
          <w:p w:rsidR="00600B13" w:rsidRDefault="00600B13" w:rsidP="00ED613F">
            <w:pPr>
              <w:jc w:val="both"/>
              <w:rPr>
                <w:rFonts w:ascii="Times New Roman" w:eastAsia="MS Mincho" w:hAnsi="Times New Roman"/>
                <w:sz w:val="20"/>
                <w:szCs w:val="20"/>
              </w:rPr>
            </w:pPr>
          </w:p>
          <w:p w:rsidR="009313B7" w:rsidRPr="00ED613F" w:rsidRDefault="009313B7"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4C69DD">
            <w:pPr>
              <w:jc w:val="both"/>
              <w:rPr>
                <w:rFonts w:ascii="Times New Roman" w:eastAsia="MS Mincho" w:hAnsi="Times New Roman"/>
                <w:sz w:val="20"/>
                <w:szCs w:val="20"/>
              </w:rPr>
            </w:pPr>
            <w:r w:rsidRPr="00ED613F">
              <w:rPr>
                <w:rFonts w:ascii="Times New Roman" w:eastAsia="MS Mincho" w:hAnsi="Times New Roman"/>
                <w:sz w:val="20"/>
                <w:szCs w:val="20"/>
              </w:rPr>
              <w:t xml:space="preserve">W związku z przymusową dematerializacją wszystkich akcji zasadne byłoby zapewnienie efektywnego i szybkiego mechanizmu egzekucji wpisu praw </w:t>
            </w:r>
            <w:r w:rsidR="004C69DD">
              <w:rPr>
                <w:rFonts w:ascii="Times New Roman" w:eastAsia="MS Mincho" w:hAnsi="Times New Roman"/>
                <w:sz w:val="20"/>
                <w:szCs w:val="20"/>
              </w:rPr>
              <w:t>z akcji</w:t>
            </w:r>
            <w:r w:rsidRPr="00ED613F">
              <w:rPr>
                <w:rFonts w:ascii="Times New Roman" w:eastAsia="MS Mincho" w:hAnsi="Times New Roman"/>
                <w:sz w:val="20"/>
                <w:szCs w:val="20"/>
              </w:rPr>
              <w:t>. W sytuacji konstytutywnego charakteru wpis</w:t>
            </w:r>
            <w:r w:rsidR="004C69DD">
              <w:rPr>
                <w:rFonts w:ascii="Times New Roman" w:eastAsia="MS Mincho" w:hAnsi="Times New Roman"/>
                <w:sz w:val="20"/>
                <w:szCs w:val="20"/>
              </w:rPr>
              <w:t>u</w:t>
            </w:r>
            <w:r w:rsidRPr="00ED613F">
              <w:rPr>
                <w:rFonts w:ascii="Times New Roman" w:eastAsia="MS Mincho" w:hAnsi="Times New Roman"/>
                <w:sz w:val="20"/>
                <w:szCs w:val="20"/>
              </w:rPr>
              <w:t xml:space="preserve"> i możliwości prowadzenia księgi przez zarząd, dysponuje on znacznym wpływem na skład akcjonariatu. Pojawia się zatem ryzyko, że prawa akcjonariuszy mniejszościowych nie będą właściwie respektowane.</w:t>
            </w:r>
          </w:p>
        </w:tc>
        <w:tc>
          <w:tcPr>
            <w:tcW w:w="5436" w:type="dxa"/>
          </w:tcPr>
          <w:p w:rsidR="00F5798A" w:rsidRPr="006F6473" w:rsidRDefault="00AC1718" w:rsidP="00ED613F">
            <w:pPr>
              <w:jc w:val="both"/>
              <w:rPr>
                <w:rFonts w:ascii="Times New Roman" w:eastAsia="MS Mincho" w:hAnsi="Times New Roman"/>
                <w:sz w:val="20"/>
                <w:szCs w:val="20"/>
              </w:rPr>
            </w:pPr>
            <w:r>
              <w:rPr>
                <w:rFonts w:ascii="Times New Roman" w:eastAsia="MS Mincho" w:hAnsi="Times New Roman"/>
                <w:sz w:val="20"/>
                <w:szCs w:val="20"/>
              </w:rPr>
              <w:lastRenderedPageBreak/>
              <w:t>W</w:t>
            </w:r>
            <w:r w:rsidR="004F0E39">
              <w:rPr>
                <w:rFonts w:ascii="Times New Roman" w:eastAsia="MS Mincho" w:hAnsi="Times New Roman"/>
                <w:sz w:val="20"/>
                <w:szCs w:val="20"/>
              </w:rPr>
              <w:t>yjaśniono</w:t>
            </w:r>
            <w:r>
              <w:rPr>
                <w:rFonts w:ascii="Times New Roman" w:eastAsia="MS Mincho" w:hAnsi="Times New Roman"/>
                <w:sz w:val="20"/>
                <w:szCs w:val="20"/>
              </w:rPr>
              <w:t xml:space="preserve">, że przyczyny </w:t>
            </w:r>
            <w:r w:rsidR="00A24470">
              <w:rPr>
                <w:rFonts w:ascii="Times New Roman" w:eastAsia="MS Mincho" w:hAnsi="Times New Roman"/>
                <w:sz w:val="20"/>
                <w:szCs w:val="20"/>
              </w:rPr>
              <w:t xml:space="preserve">obligatoryjnej </w:t>
            </w:r>
            <w:r>
              <w:rPr>
                <w:rFonts w:ascii="Times New Roman" w:eastAsia="MS Mincho" w:hAnsi="Times New Roman"/>
                <w:sz w:val="20"/>
                <w:szCs w:val="20"/>
              </w:rPr>
              <w:t xml:space="preserve">dematerializacji także </w:t>
            </w:r>
            <w:r w:rsidR="00A24470">
              <w:rPr>
                <w:rFonts w:ascii="Times New Roman" w:eastAsia="MS Mincho" w:hAnsi="Times New Roman"/>
                <w:sz w:val="20"/>
                <w:szCs w:val="20"/>
              </w:rPr>
              <w:t xml:space="preserve">akcji </w:t>
            </w:r>
            <w:r>
              <w:rPr>
                <w:rFonts w:ascii="Times New Roman" w:eastAsia="MS Mincho" w:hAnsi="Times New Roman"/>
                <w:sz w:val="20"/>
                <w:szCs w:val="20"/>
              </w:rPr>
              <w:t xml:space="preserve">imiennych zostały </w:t>
            </w:r>
            <w:r w:rsidR="006F0947">
              <w:rPr>
                <w:rFonts w:ascii="Times New Roman" w:eastAsia="MS Mincho" w:hAnsi="Times New Roman"/>
                <w:sz w:val="20"/>
                <w:szCs w:val="20"/>
              </w:rPr>
              <w:t xml:space="preserve">już </w:t>
            </w:r>
            <w:r>
              <w:rPr>
                <w:rFonts w:ascii="Times New Roman" w:eastAsia="MS Mincho" w:hAnsi="Times New Roman"/>
                <w:sz w:val="20"/>
                <w:szCs w:val="20"/>
              </w:rPr>
              <w:t xml:space="preserve">szczegółowo </w:t>
            </w:r>
            <w:r w:rsidR="00475AF1">
              <w:rPr>
                <w:rFonts w:ascii="Times New Roman" w:eastAsia="MS Mincho" w:hAnsi="Times New Roman"/>
                <w:sz w:val="20"/>
                <w:szCs w:val="20"/>
              </w:rPr>
              <w:t>przedstawione</w:t>
            </w:r>
            <w:r w:rsidR="00FF491E" w:rsidRPr="00ED613F">
              <w:rPr>
                <w:rFonts w:ascii="Times New Roman" w:eastAsia="MS Mincho" w:hAnsi="Times New Roman"/>
                <w:sz w:val="20"/>
                <w:szCs w:val="20"/>
              </w:rPr>
              <w:t xml:space="preserve"> w uzasadnieniu do projektu (</w:t>
            </w:r>
            <w:r w:rsidR="00FF491E" w:rsidRPr="00ED613F">
              <w:rPr>
                <w:rFonts w:ascii="Times New Roman" w:eastAsia="MS Mincho" w:hAnsi="Times New Roman"/>
                <w:i/>
                <w:sz w:val="20"/>
                <w:szCs w:val="20"/>
              </w:rPr>
              <w:t>vide: pkt I. Uzasadnienia, w szczególności str. 7-8</w:t>
            </w:r>
            <w:r w:rsidR="00FF491E" w:rsidRPr="00ED613F">
              <w:rPr>
                <w:rFonts w:ascii="Times New Roman" w:eastAsia="MS Mincho" w:hAnsi="Times New Roman"/>
                <w:sz w:val="20"/>
                <w:szCs w:val="20"/>
              </w:rPr>
              <w:t xml:space="preserve">). </w:t>
            </w:r>
            <w:r w:rsidR="004F0E39">
              <w:rPr>
                <w:rFonts w:ascii="Times New Roman" w:eastAsia="MS Mincho" w:hAnsi="Times New Roman"/>
                <w:sz w:val="20"/>
                <w:szCs w:val="20"/>
              </w:rPr>
              <w:t xml:space="preserve">Dodatkowo wskazano, że nieobjęcie dematerializacją akcji imiennych skutkowałoby koniecznością utrzymywania przez spółkę dwóch odrębnych systemów </w:t>
            </w:r>
            <w:r w:rsidR="004F0E39">
              <w:rPr>
                <w:rFonts w:ascii="Times New Roman" w:eastAsia="MS Mincho" w:hAnsi="Times New Roman"/>
                <w:sz w:val="20"/>
                <w:szCs w:val="20"/>
              </w:rPr>
              <w:lastRenderedPageBreak/>
              <w:t xml:space="preserve">rejestracji akcji (rejestr akcjonariuszy, o którym mowa w projekcie oraz </w:t>
            </w:r>
            <w:r w:rsidR="004F0E39" w:rsidRPr="006F6473">
              <w:rPr>
                <w:rFonts w:ascii="Times New Roman" w:eastAsia="MS Mincho" w:hAnsi="Times New Roman"/>
                <w:sz w:val="20"/>
                <w:szCs w:val="20"/>
              </w:rPr>
              <w:t xml:space="preserve">księga akcyjna), co </w:t>
            </w:r>
            <w:r w:rsidR="00F5798A" w:rsidRPr="006F6473">
              <w:rPr>
                <w:rFonts w:ascii="Times New Roman" w:eastAsia="MS Mincho" w:hAnsi="Times New Roman"/>
                <w:sz w:val="20"/>
                <w:szCs w:val="20"/>
              </w:rPr>
              <w:t xml:space="preserve">komplikowałoby </w:t>
            </w:r>
            <w:r w:rsidR="004F0E39" w:rsidRPr="006F6473">
              <w:rPr>
                <w:rFonts w:ascii="Times New Roman" w:eastAsia="MS Mincho" w:hAnsi="Times New Roman"/>
                <w:sz w:val="20"/>
                <w:szCs w:val="20"/>
              </w:rPr>
              <w:t xml:space="preserve"> </w:t>
            </w:r>
            <w:r w:rsidR="00F5798A" w:rsidRPr="006F6473">
              <w:rPr>
                <w:rFonts w:ascii="Times New Roman" w:eastAsia="MS Mincho" w:hAnsi="Times New Roman"/>
                <w:sz w:val="20"/>
                <w:szCs w:val="20"/>
              </w:rPr>
              <w:t xml:space="preserve">otoczenie prawne i było uciążliwe </w:t>
            </w:r>
            <w:r w:rsidR="00D05127" w:rsidRPr="006F6473">
              <w:rPr>
                <w:rFonts w:ascii="Times New Roman" w:eastAsia="MS Mincho" w:hAnsi="Times New Roman"/>
                <w:sz w:val="20"/>
                <w:szCs w:val="20"/>
              </w:rPr>
              <w:t xml:space="preserve">dla </w:t>
            </w:r>
            <w:r w:rsidR="00F5798A" w:rsidRPr="006F6473">
              <w:rPr>
                <w:rFonts w:ascii="Times New Roman" w:eastAsia="MS Mincho" w:hAnsi="Times New Roman"/>
                <w:sz w:val="20"/>
                <w:szCs w:val="20"/>
              </w:rPr>
              <w:t xml:space="preserve">spółki (uzasadnienie projektu zostanie </w:t>
            </w:r>
            <w:r w:rsidR="006B11A1" w:rsidRPr="006F6473">
              <w:rPr>
                <w:rFonts w:ascii="Times New Roman" w:eastAsia="MS Mincho" w:hAnsi="Times New Roman"/>
                <w:sz w:val="20"/>
                <w:szCs w:val="20"/>
              </w:rPr>
              <w:t>uzupełnion</w:t>
            </w:r>
            <w:r w:rsidR="00A41419" w:rsidRPr="006F6473">
              <w:rPr>
                <w:rFonts w:ascii="Times New Roman" w:eastAsia="MS Mincho" w:hAnsi="Times New Roman"/>
                <w:sz w:val="20"/>
                <w:szCs w:val="20"/>
              </w:rPr>
              <w:t>e</w:t>
            </w:r>
            <w:r w:rsidR="006B11A1" w:rsidRPr="006F6473">
              <w:rPr>
                <w:rFonts w:ascii="Times New Roman" w:eastAsia="MS Mincho" w:hAnsi="Times New Roman"/>
                <w:sz w:val="20"/>
                <w:szCs w:val="20"/>
              </w:rPr>
              <w:t xml:space="preserve"> o ten element). </w:t>
            </w:r>
          </w:p>
          <w:p w:rsidR="00FF491E" w:rsidRDefault="00475AF1" w:rsidP="00ED613F">
            <w:pPr>
              <w:jc w:val="both"/>
              <w:rPr>
                <w:rFonts w:ascii="Times New Roman" w:eastAsia="MS Mincho" w:hAnsi="Times New Roman"/>
                <w:sz w:val="20"/>
                <w:szCs w:val="20"/>
              </w:rPr>
            </w:pPr>
            <w:r>
              <w:rPr>
                <w:rFonts w:ascii="Times New Roman" w:eastAsia="MS Mincho" w:hAnsi="Times New Roman"/>
                <w:sz w:val="20"/>
                <w:szCs w:val="20"/>
              </w:rPr>
              <w:t>Podkreślono</w:t>
            </w:r>
            <w:r w:rsidR="00FF491E" w:rsidRPr="00ED613F">
              <w:rPr>
                <w:rFonts w:ascii="Times New Roman" w:eastAsia="MS Mincho" w:hAnsi="Times New Roman"/>
                <w:sz w:val="20"/>
                <w:szCs w:val="20"/>
              </w:rPr>
              <w:t>, że akcje w postaci papierowej, z uwagi na wymagania obrotu, należ</w:t>
            </w:r>
            <w:r>
              <w:rPr>
                <w:rFonts w:ascii="Times New Roman" w:eastAsia="MS Mincho" w:hAnsi="Times New Roman"/>
                <w:sz w:val="20"/>
                <w:szCs w:val="20"/>
              </w:rPr>
              <w:t xml:space="preserve">ą do </w:t>
            </w:r>
            <w:r w:rsidR="008A23DF">
              <w:rPr>
                <w:rFonts w:ascii="Times New Roman" w:eastAsia="MS Mincho" w:hAnsi="Times New Roman"/>
                <w:sz w:val="20"/>
                <w:szCs w:val="20"/>
              </w:rPr>
              <w:t>p</w:t>
            </w:r>
            <w:r w:rsidR="00FF491E" w:rsidRPr="00ED613F">
              <w:rPr>
                <w:rFonts w:ascii="Times New Roman" w:eastAsia="MS Mincho" w:hAnsi="Times New Roman"/>
                <w:sz w:val="20"/>
                <w:szCs w:val="20"/>
              </w:rPr>
              <w:t>rzeszłości. Także w Polsce, zgodnie z ogólnoświatowymi tendencjami, następuje proces przechodzenia na dokumenty elektroniczne</w:t>
            </w:r>
            <w:r w:rsidR="0091451D">
              <w:rPr>
                <w:rFonts w:ascii="Times New Roman" w:eastAsia="MS Mincho" w:hAnsi="Times New Roman"/>
                <w:sz w:val="20"/>
                <w:szCs w:val="20"/>
              </w:rPr>
              <w:t xml:space="preserve"> </w:t>
            </w:r>
            <w:r w:rsidR="005C60A2" w:rsidRPr="0051614C">
              <w:rPr>
                <w:rFonts w:ascii="Times New Roman" w:hAnsi="Times New Roman"/>
                <w:sz w:val="20"/>
                <w:szCs w:val="20"/>
              </w:rPr>
              <w:t>(</w:t>
            </w:r>
            <w:r w:rsidR="0051614C">
              <w:rPr>
                <w:rFonts w:ascii="Times New Roman" w:hAnsi="Times New Roman"/>
                <w:sz w:val="20"/>
                <w:szCs w:val="20"/>
              </w:rPr>
              <w:t>vide</w:t>
            </w:r>
            <w:r w:rsidR="00DA7F6C">
              <w:rPr>
                <w:rFonts w:ascii="Times New Roman" w:hAnsi="Times New Roman"/>
                <w:sz w:val="20"/>
                <w:szCs w:val="20"/>
              </w:rPr>
              <w:t>:</w:t>
            </w:r>
            <w:r w:rsidR="0051614C">
              <w:rPr>
                <w:rFonts w:ascii="Times New Roman" w:hAnsi="Times New Roman"/>
                <w:sz w:val="20"/>
                <w:szCs w:val="20"/>
              </w:rPr>
              <w:t xml:space="preserve"> </w:t>
            </w:r>
            <w:r w:rsidR="005C60A2" w:rsidRPr="0051614C">
              <w:rPr>
                <w:rFonts w:ascii="Times New Roman" w:hAnsi="Times New Roman"/>
                <w:sz w:val="20"/>
                <w:szCs w:val="20"/>
              </w:rPr>
              <w:t>p</w:t>
            </w:r>
            <w:r w:rsidR="0091451D" w:rsidRPr="0091451D">
              <w:rPr>
                <w:rFonts w:ascii="Times New Roman" w:eastAsia="MS Mincho" w:hAnsi="Times New Roman"/>
                <w:sz w:val="20"/>
                <w:szCs w:val="20"/>
              </w:rPr>
              <w:t>roces digitalizacji dokumentów spółki,</w:t>
            </w:r>
            <w:r w:rsidR="005C60A2">
              <w:rPr>
                <w:rFonts w:ascii="Times New Roman" w:eastAsia="MS Mincho" w:hAnsi="Times New Roman"/>
                <w:sz w:val="20"/>
                <w:szCs w:val="20"/>
              </w:rPr>
              <w:t xml:space="preserve"> </w:t>
            </w:r>
            <w:r w:rsidR="0091451D" w:rsidRPr="0091451D">
              <w:rPr>
                <w:rFonts w:ascii="Times New Roman" w:eastAsia="MS Mincho" w:hAnsi="Times New Roman"/>
                <w:sz w:val="20"/>
                <w:szCs w:val="20"/>
              </w:rPr>
              <w:t>czego przykładem jest choćby system S-24</w:t>
            </w:r>
            <w:r w:rsidR="00DA7F6C">
              <w:rPr>
                <w:rFonts w:ascii="Times New Roman" w:eastAsia="MS Mincho" w:hAnsi="Times New Roman"/>
                <w:sz w:val="20"/>
                <w:szCs w:val="20"/>
              </w:rPr>
              <w:t xml:space="preserve">, </w:t>
            </w:r>
            <w:r w:rsidR="0051614C">
              <w:rPr>
                <w:rFonts w:ascii="Times New Roman" w:eastAsia="MS Mincho" w:hAnsi="Times New Roman"/>
                <w:sz w:val="20"/>
                <w:szCs w:val="20"/>
              </w:rPr>
              <w:t xml:space="preserve">czy </w:t>
            </w:r>
            <w:r w:rsidR="00DA7F6C">
              <w:rPr>
                <w:rFonts w:ascii="Times New Roman" w:eastAsia="MS Mincho" w:hAnsi="Times New Roman"/>
                <w:sz w:val="20"/>
                <w:szCs w:val="20"/>
              </w:rPr>
              <w:t>w</w:t>
            </w:r>
            <w:r w:rsidR="00DA7F6C" w:rsidRPr="0091451D">
              <w:rPr>
                <w:rFonts w:ascii="Times New Roman" w:eastAsia="MS Mincho" w:hAnsi="Times New Roman"/>
                <w:sz w:val="20"/>
                <w:szCs w:val="20"/>
              </w:rPr>
              <w:t>prowadzenie</w:t>
            </w:r>
            <w:r w:rsidR="0091451D" w:rsidRPr="0091451D">
              <w:rPr>
                <w:rFonts w:ascii="Times New Roman" w:eastAsia="MS Mincho" w:hAnsi="Times New Roman"/>
                <w:sz w:val="20"/>
                <w:szCs w:val="20"/>
              </w:rPr>
              <w:t xml:space="preserve"> do K.c. formy dokumentowej, dzięki której istnieje możliwość korzystania w obrocie z nośników elektronicznych</w:t>
            </w:r>
            <w:r w:rsidR="005C60A2">
              <w:rPr>
                <w:rFonts w:ascii="Times New Roman" w:eastAsia="MS Mincho" w:hAnsi="Times New Roman"/>
                <w:sz w:val="20"/>
                <w:szCs w:val="20"/>
              </w:rPr>
              <w:t>)</w:t>
            </w:r>
            <w:r w:rsidR="00FF491E" w:rsidRPr="00ED613F">
              <w:rPr>
                <w:rFonts w:ascii="Times New Roman" w:eastAsia="MS Mincho" w:hAnsi="Times New Roman"/>
                <w:sz w:val="20"/>
                <w:szCs w:val="20"/>
              </w:rPr>
              <w:t xml:space="preserve">. Nie ma powodu, aby nie dotyczyło to także akcji imiennych. </w:t>
            </w:r>
            <w:r w:rsidR="008A23DF">
              <w:rPr>
                <w:rFonts w:ascii="Times New Roman" w:eastAsia="MS Mincho" w:hAnsi="Times New Roman"/>
                <w:sz w:val="20"/>
                <w:szCs w:val="20"/>
              </w:rPr>
              <w:t>Również w tym przypadku d</w:t>
            </w:r>
            <w:r w:rsidR="00FF491E" w:rsidRPr="00ED613F">
              <w:rPr>
                <w:rFonts w:ascii="Times New Roman" w:eastAsia="MS Mincho" w:hAnsi="Times New Roman"/>
                <w:sz w:val="20"/>
                <w:szCs w:val="20"/>
              </w:rPr>
              <w:t>ematerializacja zwiększa bezpieczeństwo obrotu, pewność stosunków własnościowych w spółce i jest mniej kosztowna.</w:t>
            </w:r>
          </w:p>
          <w:p w:rsidR="00E7051F" w:rsidRDefault="00DA7F6C" w:rsidP="00ED613F">
            <w:pPr>
              <w:jc w:val="both"/>
              <w:rPr>
                <w:rFonts w:ascii="Times New Roman" w:eastAsia="MS Mincho" w:hAnsi="Times New Roman"/>
                <w:sz w:val="20"/>
                <w:szCs w:val="20"/>
              </w:rPr>
            </w:pPr>
            <w:r>
              <w:rPr>
                <w:rFonts w:ascii="Times New Roman" w:eastAsia="MS Mincho" w:hAnsi="Times New Roman"/>
                <w:sz w:val="20"/>
                <w:szCs w:val="20"/>
              </w:rPr>
              <w:t>W</w:t>
            </w:r>
            <w:r w:rsidR="00BB35BE">
              <w:rPr>
                <w:rFonts w:ascii="Times New Roman" w:eastAsia="MS Mincho" w:hAnsi="Times New Roman"/>
                <w:sz w:val="20"/>
                <w:szCs w:val="20"/>
              </w:rPr>
              <w:t>yjaśniono</w:t>
            </w:r>
            <w:r w:rsidR="00E7051F">
              <w:rPr>
                <w:rFonts w:ascii="Times New Roman" w:eastAsia="MS Mincho" w:hAnsi="Times New Roman"/>
                <w:sz w:val="20"/>
                <w:szCs w:val="20"/>
              </w:rPr>
              <w:t>, że s</w:t>
            </w:r>
            <w:r w:rsidR="00E7051F" w:rsidRPr="00E7051F">
              <w:rPr>
                <w:rFonts w:ascii="Times New Roman" w:eastAsia="MS Mincho" w:hAnsi="Times New Roman"/>
                <w:sz w:val="20"/>
                <w:szCs w:val="20"/>
              </w:rPr>
              <w:t>posób wykonywania praw akcjonariusza</w:t>
            </w:r>
            <w:r w:rsidR="00973540">
              <w:rPr>
                <w:rFonts w:ascii="Times New Roman" w:eastAsia="MS Mincho" w:hAnsi="Times New Roman"/>
                <w:sz w:val="20"/>
                <w:szCs w:val="20"/>
              </w:rPr>
              <w:t xml:space="preserve"> w przypadku akcji zdematerializowanych </w:t>
            </w:r>
            <w:r w:rsidR="00E7051F" w:rsidRPr="00E7051F">
              <w:rPr>
                <w:rFonts w:ascii="Times New Roman" w:eastAsia="MS Mincho" w:hAnsi="Times New Roman"/>
                <w:sz w:val="20"/>
                <w:szCs w:val="20"/>
              </w:rPr>
              <w:t>jest rewolucją (zob. spółki publiczne, a także elektroniczna księga akcyjna prowadzona przez dom maklerski).</w:t>
            </w:r>
          </w:p>
          <w:p w:rsidR="00FD4C74" w:rsidRDefault="00FD4C74" w:rsidP="00ED613F">
            <w:pPr>
              <w:jc w:val="both"/>
              <w:rPr>
                <w:rFonts w:ascii="Times New Roman" w:eastAsia="MS Mincho" w:hAnsi="Times New Roman"/>
                <w:sz w:val="20"/>
                <w:szCs w:val="20"/>
              </w:rPr>
            </w:pPr>
            <w:r>
              <w:rPr>
                <w:rFonts w:ascii="Times New Roman" w:eastAsia="MS Mincho" w:hAnsi="Times New Roman"/>
                <w:sz w:val="20"/>
                <w:szCs w:val="20"/>
              </w:rPr>
              <w:t>Wskazano, że odejście od akcji na okaziciela</w:t>
            </w:r>
            <w:r w:rsidR="00782554">
              <w:rPr>
                <w:rFonts w:ascii="Times New Roman" w:eastAsia="MS Mincho" w:hAnsi="Times New Roman"/>
                <w:sz w:val="20"/>
                <w:szCs w:val="20"/>
              </w:rPr>
              <w:t xml:space="preserve"> jest jedną z możliwych</w:t>
            </w:r>
            <w:r>
              <w:rPr>
                <w:rFonts w:ascii="Times New Roman" w:eastAsia="MS Mincho" w:hAnsi="Times New Roman"/>
                <w:sz w:val="20"/>
                <w:szCs w:val="20"/>
              </w:rPr>
              <w:t xml:space="preserve"> </w:t>
            </w:r>
            <w:r w:rsidR="00782554">
              <w:rPr>
                <w:rFonts w:ascii="Times New Roman" w:eastAsia="MS Mincho" w:hAnsi="Times New Roman"/>
                <w:sz w:val="20"/>
                <w:szCs w:val="20"/>
              </w:rPr>
              <w:t>konkurencyjnych koncepcji</w:t>
            </w:r>
            <w:r w:rsidR="00981678">
              <w:rPr>
                <w:rFonts w:ascii="Times New Roman" w:eastAsia="MS Mincho" w:hAnsi="Times New Roman"/>
                <w:sz w:val="20"/>
                <w:szCs w:val="20"/>
              </w:rPr>
              <w:t xml:space="preserve">. </w:t>
            </w:r>
            <w:r w:rsidR="00BF4085">
              <w:rPr>
                <w:rFonts w:ascii="Times New Roman" w:hAnsi="Times New Roman"/>
                <w:sz w:val="20"/>
                <w:szCs w:val="20"/>
              </w:rPr>
              <w:t xml:space="preserve">Z przyczyn </w:t>
            </w:r>
            <w:r w:rsidR="00BB35BE">
              <w:rPr>
                <w:rFonts w:ascii="Times New Roman" w:hAnsi="Times New Roman"/>
                <w:sz w:val="20"/>
                <w:szCs w:val="20"/>
              </w:rPr>
              <w:t>przywołanych</w:t>
            </w:r>
            <w:r w:rsidR="00BF4085">
              <w:rPr>
                <w:rFonts w:ascii="Times New Roman" w:hAnsi="Times New Roman"/>
                <w:sz w:val="20"/>
                <w:szCs w:val="20"/>
              </w:rPr>
              <w:t xml:space="preserve"> wyżej wybrano jednak </w:t>
            </w:r>
            <w:r w:rsidR="00A278BD">
              <w:rPr>
                <w:rFonts w:ascii="Times New Roman" w:hAnsi="Times New Roman"/>
                <w:sz w:val="20"/>
                <w:szCs w:val="20"/>
              </w:rPr>
              <w:t xml:space="preserve">koncepcję dematerializacji, przy jednoczesnym </w:t>
            </w:r>
            <w:r w:rsidR="00BB35BE">
              <w:rPr>
                <w:rFonts w:ascii="Times New Roman" w:hAnsi="Times New Roman"/>
                <w:sz w:val="20"/>
                <w:szCs w:val="20"/>
              </w:rPr>
              <w:t xml:space="preserve">otrzymaniu tradycyjnego podziału </w:t>
            </w:r>
            <w:r w:rsidR="00A278BD">
              <w:rPr>
                <w:rFonts w:ascii="Times New Roman" w:hAnsi="Times New Roman"/>
                <w:sz w:val="20"/>
                <w:szCs w:val="20"/>
              </w:rPr>
              <w:t>akcji na okaziciela i akcji imiennych. Podkreślono, że o</w:t>
            </w:r>
            <w:r w:rsidR="00981678" w:rsidRPr="00981678">
              <w:rPr>
                <w:rFonts w:ascii="Times New Roman" w:eastAsia="MS Mincho" w:hAnsi="Times New Roman"/>
                <w:sz w:val="20"/>
                <w:szCs w:val="20"/>
              </w:rPr>
              <w:t>dejście całkowite</w:t>
            </w:r>
            <w:r w:rsidR="0029218D">
              <w:rPr>
                <w:rFonts w:ascii="Times New Roman" w:eastAsia="MS Mincho" w:hAnsi="Times New Roman"/>
                <w:sz w:val="20"/>
                <w:szCs w:val="20"/>
              </w:rPr>
              <w:t>go</w:t>
            </w:r>
            <w:r w:rsidR="00981678" w:rsidRPr="00981678">
              <w:rPr>
                <w:rFonts w:ascii="Times New Roman" w:eastAsia="MS Mincho" w:hAnsi="Times New Roman"/>
                <w:sz w:val="20"/>
                <w:szCs w:val="20"/>
              </w:rPr>
              <w:t xml:space="preserve"> od akcji na okaziciela wymaga pogłębionych badań z punktu widzenia wpływu na stosunki w spółce i będzie elementem dalszych zmian. </w:t>
            </w:r>
            <w:r w:rsidR="006F0947">
              <w:rPr>
                <w:rFonts w:ascii="Times New Roman" w:eastAsia="MS Mincho" w:hAnsi="Times New Roman"/>
                <w:sz w:val="20"/>
                <w:szCs w:val="20"/>
              </w:rPr>
              <w:t xml:space="preserve">Wybrano więc </w:t>
            </w:r>
            <w:r w:rsidR="00981678" w:rsidRPr="00981678">
              <w:rPr>
                <w:rFonts w:ascii="Times New Roman" w:eastAsia="MS Mincho" w:hAnsi="Times New Roman"/>
                <w:sz w:val="20"/>
                <w:szCs w:val="20"/>
              </w:rPr>
              <w:t>ewolucję, a nie rewolucję legislacyjną</w:t>
            </w:r>
            <w:r w:rsidR="006F0947">
              <w:rPr>
                <w:rFonts w:ascii="Times New Roman" w:eastAsia="MS Mincho" w:hAnsi="Times New Roman"/>
                <w:sz w:val="20"/>
                <w:szCs w:val="20"/>
              </w:rPr>
              <w:t>,</w:t>
            </w:r>
            <w:r w:rsidR="00981678" w:rsidRPr="00981678">
              <w:rPr>
                <w:rFonts w:ascii="Times New Roman" w:eastAsia="MS Mincho" w:hAnsi="Times New Roman"/>
                <w:sz w:val="20"/>
                <w:szCs w:val="20"/>
              </w:rPr>
              <w:t xml:space="preserve"> biorąc pod uwagę, że już proponowana ewolucja stanowi głęboką zmianę systemową.</w:t>
            </w:r>
          </w:p>
          <w:p w:rsidR="00BB20CF" w:rsidRPr="006F6473" w:rsidRDefault="00D908D8" w:rsidP="00ED613F">
            <w:pPr>
              <w:jc w:val="both"/>
              <w:rPr>
                <w:rFonts w:ascii="Times New Roman" w:eastAsia="MS Mincho" w:hAnsi="Times New Roman"/>
                <w:sz w:val="20"/>
                <w:szCs w:val="20"/>
              </w:rPr>
            </w:pPr>
            <w:r w:rsidRPr="006F6473">
              <w:rPr>
                <w:rFonts w:ascii="Times New Roman" w:eastAsia="MS Mincho" w:hAnsi="Times New Roman"/>
                <w:sz w:val="20"/>
                <w:szCs w:val="20"/>
              </w:rPr>
              <w:t xml:space="preserve">Natomiast </w:t>
            </w:r>
            <w:r w:rsidR="0034447E" w:rsidRPr="006F6473">
              <w:rPr>
                <w:rFonts w:ascii="Times New Roman" w:eastAsia="MS Mincho" w:hAnsi="Times New Roman"/>
                <w:sz w:val="20"/>
                <w:szCs w:val="20"/>
              </w:rPr>
              <w:t>OSR do projektu</w:t>
            </w:r>
            <w:r w:rsidRPr="006F6473">
              <w:rPr>
                <w:rFonts w:ascii="Times New Roman" w:eastAsia="MS Mincho" w:hAnsi="Times New Roman"/>
                <w:sz w:val="20"/>
                <w:szCs w:val="20"/>
              </w:rPr>
              <w:t>, w zakresie skutków proponowanych rozwiązań,</w:t>
            </w:r>
            <w:r w:rsidR="0034447E" w:rsidRPr="006F6473">
              <w:rPr>
                <w:rFonts w:ascii="Times New Roman" w:eastAsia="MS Mincho" w:hAnsi="Times New Roman"/>
                <w:sz w:val="20"/>
                <w:szCs w:val="20"/>
              </w:rPr>
              <w:t xml:space="preserve"> zosta</w:t>
            </w:r>
            <w:r w:rsidR="0055474B" w:rsidRPr="006F6473">
              <w:rPr>
                <w:rFonts w:ascii="Times New Roman" w:eastAsia="MS Mincho" w:hAnsi="Times New Roman"/>
                <w:sz w:val="20"/>
                <w:szCs w:val="20"/>
              </w:rPr>
              <w:t>nie</w:t>
            </w:r>
            <w:r w:rsidR="0034447E" w:rsidRPr="006F6473">
              <w:rPr>
                <w:rFonts w:ascii="Times New Roman" w:eastAsia="MS Mincho" w:hAnsi="Times New Roman"/>
                <w:sz w:val="20"/>
                <w:szCs w:val="20"/>
              </w:rPr>
              <w:t xml:space="preserve"> uzupełniony zgodnie z wytycznymi KPRM (vide uwaga z pkt 40 tabeli).</w:t>
            </w:r>
          </w:p>
          <w:p w:rsidR="00FF491E" w:rsidRPr="006F6473"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FF491E" w:rsidRPr="00ED613F" w:rsidRDefault="00862880" w:rsidP="00ED613F">
            <w:pPr>
              <w:jc w:val="both"/>
              <w:rPr>
                <w:rFonts w:ascii="Times New Roman" w:eastAsia="MS Mincho" w:hAnsi="Times New Roman"/>
                <w:sz w:val="20"/>
                <w:szCs w:val="20"/>
              </w:rPr>
            </w:pPr>
            <w:r>
              <w:rPr>
                <w:rFonts w:ascii="Times New Roman" w:eastAsia="MS Mincho" w:hAnsi="Times New Roman"/>
                <w:sz w:val="20"/>
                <w:szCs w:val="20"/>
              </w:rPr>
              <w:t>Wyjaśniono</w:t>
            </w:r>
            <w:r w:rsidR="002D5D7F">
              <w:rPr>
                <w:rFonts w:ascii="Times New Roman" w:eastAsia="MS Mincho" w:hAnsi="Times New Roman"/>
                <w:sz w:val="20"/>
                <w:szCs w:val="20"/>
              </w:rPr>
              <w:t>, ż</w:t>
            </w:r>
            <w:r>
              <w:rPr>
                <w:rFonts w:ascii="Times New Roman" w:eastAsia="MS Mincho" w:hAnsi="Times New Roman"/>
                <w:sz w:val="20"/>
                <w:szCs w:val="20"/>
              </w:rPr>
              <w:t>e brak jest</w:t>
            </w:r>
            <w:r w:rsidR="00FF491E" w:rsidRPr="00ED613F">
              <w:rPr>
                <w:rFonts w:ascii="Times New Roman" w:eastAsia="MS Mincho" w:hAnsi="Times New Roman"/>
                <w:sz w:val="20"/>
                <w:szCs w:val="20"/>
              </w:rPr>
              <w:t xml:space="preserve"> </w:t>
            </w:r>
            <w:r>
              <w:rPr>
                <w:rFonts w:ascii="Times New Roman" w:eastAsia="MS Mincho" w:hAnsi="Times New Roman"/>
                <w:sz w:val="20"/>
                <w:szCs w:val="20"/>
              </w:rPr>
              <w:t>potrzeby wprowadzania</w:t>
            </w:r>
            <w:r w:rsidR="00FF491E" w:rsidRPr="00ED613F">
              <w:rPr>
                <w:rFonts w:ascii="Times New Roman" w:eastAsia="MS Mincho" w:hAnsi="Times New Roman"/>
                <w:sz w:val="20"/>
                <w:szCs w:val="20"/>
              </w:rPr>
              <w:t xml:space="preserve"> zmian do Kodeksu cywilnego w zakresie papierów wartościowych, ponieważ regulacja dematerializacji dla akcji jest autonomiczna (podobnie jak np. dla obligacji). Mechanizm </w:t>
            </w:r>
            <w:r w:rsidR="007620A8">
              <w:rPr>
                <w:rFonts w:ascii="Times New Roman" w:eastAsia="MS Mincho" w:hAnsi="Times New Roman"/>
                <w:sz w:val="20"/>
                <w:szCs w:val="20"/>
              </w:rPr>
              <w:t xml:space="preserve">obrotu </w:t>
            </w:r>
            <w:r w:rsidR="007620A8" w:rsidRPr="00ED613F">
              <w:rPr>
                <w:rFonts w:ascii="Times New Roman" w:eastAsia="MS Mincho" w:hAnsi="Times New Roman"/>
                <w:sz w:val="20"/>
                <w:szCs w:val="20"/>
              </w:rPr>
              <w:t xml:space="preserve"> akcjami zdematerializowanymi </w:t>
            </w:r>
            <w:r w:rsidR="00683809" w:rsidRPr="00ED613F">
              <w:rPr>
                <w:rFonts w:ascii="Times New Roman" w:eastAsia="MS Mincho" w:hAnsi="Times New Roman"/>
                <w:sz w:val="20"/>
                <w:szCs w:val="20"/>
              </w:rPr>
              <w:t>(zob. art. 328</w:t>
            </w:r>
            <w:r w:rsidR="00683809" w:rsidRPr="00ED613F">
              <w:rPr>
                <w:rFonts w:ascii="Times New Roman" w:eastAsia="MS Mincho" w:hAnsi="Times New Roman"/>
                <w:sz w:val="20"/>
                <w:szCs w:val="20"/>
                <w:vertAlign w:val="superscript"/>
              </w:rPr>
              <w:t>9</w:t>
            </w:r>
            <w:r w:rsidR="00683809" w:rsidRPr="00ED613F">
              <w:rPr>
                <w:rFonts w:ascii="Times New Roman" w:eastAsia="MS Mincho" w:hAnsi="Times New Roman"/>
                <w:sz w:val="20"/>
                <w:szCs w:val="20"/>
              </w:rPr>
              <w:t xml:space="preserve"> </w:t>
            </w:r>
            <w:proofErr w:type="spellStart"/>
            <w:r w:rsidR="00683809" w:rsidRPr="00ED613F">
              <w:rPr>
                <w:rFonts w:ascii="Times New Roman" w:eastAsia="MS Mincho" w:hAnsi="Times New Roman"/>
                <w:sz w:val="20"/>
                <w:szCs w:val="20"/>
              </w:rPr>
              <w:t>K.s.h</w:t>
            </w:r>
            <w:proofErr w:type="spellEnd"/>
            <w:r w:rsidR="00683809" w:rsidRPr="00ED613F">
              <w:rPr>
                <w:rFonts w:ascii="Times New Roman" w:eastAsia="MS Mincho" w:hAnsi="Times New Roman"/>
                <w:sz w:val="20"/>
                <w:szCs w:val="20"/>
              </w:rPr>
              <w:t xml:space="preserve">.) </w:t>
            </w:r>
            <w:r w:rsidR="00FF491E" w:rsidRPr="00ED613F">
              <w:rPr>
                <w:rFonts w:ascii="Times New Roman" w:eastAsia="MS Mincho" w:hAnsi="Times New Roman"/>
                <w:sz w:val="20"/>
                <w:szCs w:val="20"/>
              </w:rPr>
              <w:t xml:space="preserve">oparty </w:t>
            </w:r>
            <w:r w:rsidR="00786BC7">
              <w:rPr>
                <w:rFonts w:ascii="Times New Roman" w:eastAsia="MS Mincho" w:hAnsi="Times New Roman"/>
                <w:sz w:val="20"/>
                <w:szCs w:val="20"/>
              </w:rPr>
              <w:t xml:space="preserve">jest </w:t>
            </w:r>
            <w:r w:rsidR="00FF491E" w:rsidRPr="00ED613F">
              <w:rPr>
                <w:rFonts w:ascii="Times New Roman" w:eastAsia="MS Mincho" w:hAnsi="Times New Roman"/>
                <w:sz w:val="20"/>
                <w:szCs w:val="20"/>
              </w:rPr>
              <w:t>na sprawdzonym od ponad 20 lat mechanizmie obrotu akcjami zdematerializowanymi spółek publicznych, gdzie występuje również obrót prywatny</w:t>
            </w:r>
            <w:r w:rsidR="00C87DEC">
              <w:rPr>
                <w:rFonts w:ascii="Times New Roman" w:eastAsia="MS Mincho" w:hAnsi="Times New Roman"/>
                <w:sz w:val="20"/>
                <w:szCs w:val="20"/>
              </w:rPr>
              <w:t xml:space="preserve">, i jako taki nie powinien budzić </w:t>
            </w:r>
            <w:r w:rsidR="00C87DEC">
              <w:rPr>
                <w:rFonts w:ascii="Times New Roman" w:eastAsia="MS Mincho" w:hAnsi="Times New Roman"/>
                <w:sz w:val="20"/>
                <w:szCs w:val="20"/>
              </w:rPr>
              <w:lastRenderedPageBreak/>
              <w:t>wątpliwości.</w:t>
            </w:r>
            <w:r w:rsidR="00C87DEC" w:rsidRPr="00ED613F">
              <w:rPr>
                <w:rFonts w:ascii="Times New Roman" w:eastAsia="MS Mincho" w:hAnsi="Times New Roman"/>
                <w:sz w:val="20"/>
                <w:szCs w:val="20"/>
              </w:rPr>
              <w:t xml:space="preserve"> </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p>
          <w:p w:rsidR="00E05484" w:rsidRDefault="00693C37" w:rsidP="00ED613F">
            <w:pPr>
              <w:jc w:val="both"/>
              <w:rPr>
                <w:rFonts w:ascii="Times New Roman" w:eastAsia="MS Mincho" w:hAnsi="Times New Roman"/>
                <w:sz w:val="20"/>
                <w:szCs w:val="20"/>
              </w:rPr>
            </w:pPr>
            <w:r>
              <w:rPr>
                <w:rFonts w:ascii="Times New Roman" w:eastAsia="MS Mincho" w:hAnsi="Times New Roman"/>
                <w:sz w:val="20"/>
                <w:szCs w:val="20"/>
              </w:rPr>
              <w:t>Wskazano, że p</w:t>
            </w:r>
            <w:r w:rsidR="00FF491E" w:rsidRPr="00ED613F">
              <w:rPr>
                <w:rFonts w:ascii="Times New Roman" w:eastAsia="MS Mincho" w:hAnsi="Times New Roman"/>
                <w:sz w:val="20"/>
                <w:szCs w:val="20"/>
              </w:rPr>
              <w:t xml:space="preserve">raktyka funkcjonowania rejestru w obrocie publicznym i na rynku obligacji nie </w:t>
            </w:r>
            <w:r w:rsidR="006E34E5">
              <w:rPr>
                <w:rFonts w:ascii="Times New Roman" w:eastAsia="MS Mincho" w:hAnsi="Times New Roman"/>
                <w:sz w:val="20"/>
                <w:szCs w:val="20"/>
              </w:rPr>
              <w:t>wskazuje na potrzebę wprowadzania takiej szczególnej regulacji</w:t>
            </w:r>
            <w:r w:rsidR="00EC726A">
              <w:rPr>
                <w:rFonts w:ascii="Times New Roman" w:eastAsia="MS Mincho" w:hAnsi="Times New Roman"/>
                <w:sz w:val="20"/>
                <w:szCs w:val="20"/>
              </w:rPr>
              <w:t xml:space="preserve"> (przepisy </w:t>
            </w:r>
            <w:r w:rsidR="00E05484">
              <w:rPr>
                <w:rFonts w:ascii="Times New Roman" w:eastAsia="MS Mincho" w:hAnsi="Times New Roman"/>
                <w:sz w:val="20"/>
                <w:szCs w:val="20"/>
              </w:rPr>
              <w:t xml:space="preserve">dotyczące </w:t>
            </w:r>
            <w:r w:rsidR="00E05484">
              <w:t xml:space="preserve"> </w:t>
            </w:r>
            <w:r w:rsidR="00E05484" w:rsidRPr="00E05484">
              <w:rPr>
                <w:rFonts w:ascii="Times New Roman" w:eastAsia="MS Mincho" w:hAnsi="Times New Roman"/>
                <w:sz w:val="20"/>
                <w:szCs w:val="20"/>
              </w:rPr>
              <w:t xml:space="preserve">obrotu akcjami zdematerializowanymi spółek publicznych </w:t>
            </w:r>
            <w:r w:rsidR="00E05484">
              <w:rPr>
                <w:rFonts w:ascii="Times New Roman" w:eastAsia="MS Mincho" w:hAnsi="Times New Roman"/>
                <w:sz w:val="20"/>
                <w:szCs w:val="20"/>
              </w:rPr>
              <w:t xml:space="preserve"> nie zawierają żadnej takiej odrębnej regulacji).</w:t>
            </w:r>
            <w:r w:rsidR="001522C2">
              <w:rPr>
                <w:rFonts w:ascii="Times New Roman" w:eastAsia="MS Mincho" w:hAnsi="Times New Roman"/>
                <w:sz w:val="20"/>
                <w:szCs w:val="20"/>
              </w:rPr>
              <w:t xml:space="preserve"> Podkreślono, że dematerializacja i istnienie rejestru prowadzonego przez kwalifikowane podmioty, podlegające nadzorowi KNF, </w:t>
            </w:r>
            <w:r w:rsidR="00345594">
              <w:rPr>
                <w:rFonts w:ascii="Times New Roman" w:eastAsia="MS Mincho" w:hAnsi="Times New Roman"/>
                <w:sz w:val="20"/>
                <w:szCs w:val="20"/>
              </w:rPr>
              <w:t>ograniczają</w:t>
            </w:r>
            <w:r w:rsidR="001522C2">
              <w:rPr>
                <w:rFonts w:ascii="Times New Roman" w:eastAsia="MS Mincho" w:hAnsi="Times New Roman"/>
                <w:sz w:val="20"/>
                <w:szCs w:val="20"/>
              </w:rPr>
              <w:t xml:space="preserve"> do minimum </w:t>
            </w:r>
            <w:r w:rsidR="00345594">
              <w:rPr>
                <w:rFonts w:ascii="Times New Roman" w:eastAsia="MS Mincho" w:hAnsi="Times New Roman"/>
                <w:sz w:val="20"/>
                <w:szCs w:val="20"/>
              </w:rPr>
              <w:t>ryzyka związane z możliwością nabycia akcji od nieuprawnionego</w:t>
            </w:r>
            <w:r w:rsidR="009806AB">
              <w:rPr>
                <w:rFonts w:ascii="Times New Roman" w:eastAsia="MS Mincho" w:hAnsi="Times New Roman"/>
                <w:sz w:val="20"/>
                <w:szCs w:val="20"/>
              </w:rPr>
              <w:t>.</w:t>
            </w:r>
          </w:p>
          <w:p w:rsidR="00FF491E" w:rsidRPr="006F6473" w:rsidRDefault="00345594" w:rsidP="00ED613F">
            <w:pPr>
              <w:jc w:val="both"/>
              <w:rPr>
                <w:rFonts w:ascii="Times New Roman" w:eastAsia="MS Mincho" w:hAnsi="Times New Roman"/>
                <w:b/>
                <w:sz w:val="20"/>
                <w:szCs w:val="20"/>
              </w:rPr>
            </w:pPr>
            <w:r>
              <w:rPr>
                <w:rFonts w:ascii="Times New Roman" w:eastAsia="MS Mincho" w:hAnsi="Times New Roman"/>
                <w:sz w:val="20"/>
                <w:szCs w:val="20"/>
              </w:rPr>
              <w:t>Jednocześnie wyjaśniono, ż</w:t>
            </w:r>
            <w:r w:rsidR="00C76C87">
              <w:rPr>
                <w:rFonts w:ascii="Times New Roman" w:eastAsia="MS Mincho" w:hAnsi="Times New Roman"/>
                <w:sz w:val="20"/>
                <w:szCs w:val="20"/>
              </w:rPr>
              <w:t>e chociaż zagadnienie to nie jest jednoznaczne,</w:t>
            </w:r>
            <w:r>
              <w:rPr>
                <w:rFonts w:ascii="Times New Roman" w:eastAsia="MS Mincho" w:hAnsi="Times New Roman"/>
                <w:sz w:val="20"/>
                <w:szCs w:val="20"/>
              </w:rPr>
              <w:t xml:space="preserve"> </w:t>
            </w:r>
            <w:r w:rsidR="00C76C87">
              <w:rPr>
                <w:rFonts w:ascii="Times New Roman" w:eastAsia="MS Mincho" w:hAnsi="Times New Roman"/>
                <w:sz w:val="20"/>
                <w:szCs w:val="20"/>
              </w:rPr>
              <w:t>w piśmiennictwie wskazuje się na możliwość stosowania art. 169 k.c. także</w:t>
            </w:r>
            <w:r w:rsidR="004921B3">
              <w:rPr>
                <w:rFonts w:ascii="Times New Roman" w:eastAsia="MS Mincho" w:hAnsi="Times New Roman"/>
                <w:sz w:val="20"/>
                <w:szCs w:val="20"/>
              </w:rPr>
              <w:t xml:space="preserve"> do nabycia </w:t>
            </w:r>
            <w:r w:rsidR="00703154">
              <w:rPr>
                <w:rFonts w:ascii="Times New Roman" w:eastAsia="MS Mincho" w:hAnsi="Times New Roman"/>
                <w:sz w:val="20"/>
                <w:szCs w:val="20"/>
              </w:rPr>
              <w:t>papierów wartościowych zdematerializowanych</w:t>
            </w:r>
            <w:r w:rsidR="004921B3">
              <w:rPr>
                <w:rFonts w:ascii="Times New Roman" w:eastAsia="MS Mincho" w:hAnsi="Times New Roman"/>
                <w:sz w:val="20"/>
                <w:szCs w:val="20"/>
              </w:rPr>
              <w:t xml:space="preserve">. Zwrócono </w:t>
            </w:r>
            <w:r w:rsidR="00E0519F">
              <w:rPr>
                <w:rFonts w:ascii="Times New Roman" w:eastAsia="MS Mincho" w:hAnsi="Times New Roman"/>
                <w:sz w:val="20"/>
                <w:szCs w:val="20"/>
              </w:rPr>
              <w:t>przy tym</w:t>
            </w:r>
            <w:r w:rsidR="004921B3">
              <w:rPr>
                <w:rFonts w:ascii="Times New Roman" w:eastAsia="MS Mincho" w:hAnsi="Times New Roman"/>
                <w:sz w:val="20"/>
                <w:szCs w:val="20"/>
              </w:rPr>
              <w:t xml:space="preserve"> uwagę</w:t>
            </w:r>
            <w:r w:rsidR="00703154">
              <w:rPr>
                <w:rFonts w:ascii="Times New Roman" w:eastAsia="MS Mincho" w:hAnsi="Times New Roman"/>
                <w:sz w:val="20"/>
                <w:szCs w:val="20"/>
              </w:rPr>
              <w:t>, że</w:t>
            </w:r>
            <w:r w:rsidR="00FF491E" w:rsidRPr="00ED613F">
              <w:rPr>
                <w:rFonts w:ascii="Times New Roman" w:eastAsia="MS Mincho" w:hAnsi="Times New Roman"/>
                <w:sz w:val="20"/>
                <w:szCs w:val="20"/>
              </w:rPr>
              <w:t xml:space="preserve"> </w:t>
            </w:r>
            <w:r w:rsidR="00582D94">
              <w:rPr>
                <w:rFonts w:ascii="Times New Roman" w:eastAsia="MS Mincho" w:hAnsi="Times New Roman"/>
                <w:sz w:val="20"/>
                <w:szCs w:val="20"/>
              </w:rPr>
              <w:t xml:space="preserve">o ile takie stosowanie </w:t>
            </w:r>
            <w:r w:rsidR="00B075AF">
              <w:rPr>
                <w:rFonts w:ascii="Times New Roman" w:eastAsia="MS Mincho" w:hAnsi="Times New Roman"/>
                <w:sz w:val="20"/>
                <w:szCs w:val="20"/>
              </w:rPr>
              <w:t>łatwiej zaakceptować w przypadku</w:t>
            </w:r>
            <w:r w:rsidR="00FF491E" w:rsidRPr="00ED613F">
              <w:rPr>
                <w:rFonts w:ascii="Times New Roman" w:eastAsia="MS Mincho" w:hAnsi="Times New Roman"/>
                <w:sz w:val="20"/>
                <w:szCs w:val="20"/>
              </w:rPr>
              <w:t xml:space="preserve"> do papierów wartościowych na okaziciela typu abstrakcyjnego</w:t>
            </w:r>
            <w:r w:rsidR="00582D94">
              <w:rPr>
                <w:rFonts w:ascii="Times New Roman" w:eastAsia="MS Mincho" w:hAnsi="Times New Roman"/>
                <w:sz w:val="20"/>
                <w:szCs w:val="20"/>
              </w:rPr>
              <w:t xml:space="preserve">, to może </w:t>
            </w:r>
            <w:r w:rsidR="009313B7">
              <w:rPr>
                <w:rFonts w:ascii="Times New Roman" w:eastAsia="MS Mincho" w:hAnsi="Times New Roman"/>
                <w:sz w:val="20"/>
                <w:szCs w:val="20"/>
              </w:rPr>
              <w:t xml:space="preserve">ono </w:t>
            </w:r>
            <w:r w:rsidR="00582D94">
              <w:rPr>
                <w:rFonts w:ascii="Times New Roman" w:eastAsia="MS Mincho" w:hAnsi="Times New Roman"/>
                <w:sz w:val="20"/>
                <w:szCs w:val="20"/>
              </w:rPr>
              <w:t xml:space="preserve">budzić wątpliwości w przypadku papierów </w:t>
            </w:r>
            <w:r w:rsidR="008D2611">
              <w:rPr>
                <w:rFonts w:ascii="Times New Roman" w:eastAsia="MS Mincho" w:hAnsi="Times New Roman"/>
                <w:sz w:val="20"/>
                <w:szCs w:val="20"/>
              </w:rPr>
              <w:t>wartościowych</w:t>
            </w:r>
            <w:r w:rsidR="00FF491E" w:rsidRPr="00ED613F">
              <w:rPr>
                <w:rFonts w:ascii="Times New Roman" w:eastAsia="MS Mincho" w:hAnsi="Times New Roman"/>
                <w:sz w:val="20"/>
                <w:szCs w:val="20"/>
              </w:rPr>
              <w:t xml:space="preserve"> typu udziałowego, w tym ak</w:t>
            </w:r>
            <w:r w:rsidR="00703154">
              <w:rPr>
                <w:rFonts w:ascii="Times New Roman" w:eastAsia="MS Mincho" w:hAnsi="Times New Roman"/>
                <w:sz w:val="20"/>
                <w:szCs w:val="20"/>
              </w:rPr>
              <w:t xml:space="preserve">cji, </w:t>
            </w:r>
            <w:r w:rsidR="008D2611">
              <w:rPr>
                <w:rFonts w:ascii="Times New Roman" w:eastAsia="MS Mincho" w:hAnsi="Times New Roman"/>
                <w:sz w:val="20"/>
                <w:szCs w:val="20"/>
              </w:rPr>
              <w:t>z tego względu</w:t>
            </w:r>
            <w:r w:rsidR="006B3C1C">
              <w:rPr>
                <w:rFonts w:ascii="Times New Roman" w:eastAsia="MS Mincho" w:hAnsi="Times New Roman"/>
                <w:sz w:val="20"/>
                <w:szCs w:val="20"/>
              </w:rPr>
              <w:t>, ż</w:t>
            </w:r>
            <w:r w:rsidR="008D2611">
              <w:rPr>
                <w:rFonts w:ascii="Times New Roman" w:eastAsia="MS Mincho" w:hAnsi="Times New Roman"/>
                <w:sz w:val="20"/>
                <w:szCs w:val="20"/>
              </w:rPr>
              <w:t xml:space="preserve">e dokument akcji jest papierem </w:t>
            </w:r>
            <w:r w:rsidR="00FF491E" w:rsidRPr="00ED613F">
              <w:rPr>
                <w:rFonts w:ascii="Times New Roman" w:eastAsia="MS Mincho" w:hAnsi="Times New Roman"/>
                <w:sz w:val="20"/>
                <w:szCs w:val="20"/>
              </w:rPr>
              <w:t>wartościowym deklaratywnym, nigdy nie jest abstrakcyjnym</w:t>
            </w:r>
            <w:r w:rsidR="006B3C1C">
              <w:rPr>
                <w:rFonts w:ascii="Times New Roman" w:eastAsia="MS Mincho" w:hAnsi="Times New Roman"/>
                <w:sz w:val="20"/>
                <w:szCs w:val="20"/>
              </w:rPr>
              <w:t xml:space="preserve">, </w:t>
            </w:r>
            <w:r w:rsidR="00FF491E" w:rsidRPr="00ED613F">
              <w:rPr>
                <w:rFonts w:ascii="Times New Roman" w:eastAsia="MS Mincho" w:hAnsi="Times New Roman"/>
                <w:sz w:val="20"/>
                <w:szCs w:val="20"/>
              </w:rPr>
              <w:t>tzn. nie odrywa s</w:t>
            </w:r>
            <w:r w:rsidR="006B3C1C">
              <w:rPr>
                <w:rFonts w:ascii="Times New Roman" w:eastAsia="MS Mincho" w:hAnsi="Times New Roman"/>
                <w:sz w:val="20"/>
                <w:szCs w:val="20"/>
              </w:rPr>
              <w:t xml:space="preserve">ię od podstawy jego wystawienia. </w:t>
            </w:r>
            <w:r w:rsidR="00FF491E" w:rsidRPr="00ED613F">
              <w:rPr>
                <w:rFonts w:ascii="Times New Roman" w:eastAsia="MS Mincho" w:hAnsi="Times New Roman"/>
                <w:sz w:val="20"/>
                <w:szCs w:val="20"/>
              </w:rPr>
              <w:t>Ponadto, każdy posiadacz akcji</w:t>
            </w:r>
            <w:r w:rsidR="006B3C1C">
              <w:rPr>
                <w:rFonts w:ascii="Times New Roman" w:eastAsia="MS Mincho" w:hAnsi="Times New Roman"/>
                <w:sz w:val="20"/>
                <w:szCs w:val="20"/>
              </w:rPr>
              <w:t xml:space="preserve"> wpisany do </w:t>
            </w:r>
            <w:r w:rsidR="006B3C1C" w:rsidRPr="006F6473">
              <w:rPr>
                <w:rFonts w:ascii="Times New Roman" w:eastAsia="MS Mincho" w:hAnsi="Times New Roman"/>
                <w:sz w:val="20"/>
                <w:szCs w:val="20"/>
              </w:rPr>
              <w:t>rejestru</w:t>
            </w:r>
            <w:r w:rsidR="00FF491E" w:rsidRPr="006F6473">
              <w:rPr>
                <w:rFonts w:ascii="Times New Roman" w:eastAsia="MS Mincho" w:hAnsi="Times New Roman"/>
                <w:sz w:val="20"/>
                <w:szCs w:val="20"/>
              </w:rPr>
              <w:t xml:space="preserve"> jest identyfikowalny przez spółkę, a stosowanie art. 169 k</w:t>
            </w:r>
            <w:r w:rsidR="006B3C1C" w:rsidRPr="006F6473">
              <w:rPr>
                <w:rFonts w:ascii="Times New Roman" w:eastAsia="MS Mincho" w:hAnsi="Times New Roman"/>
                <w:sz w:val="20"/>
                <w:szCs w:val="20"/>
              </w:rPr>
              <w:t>.</w:t>
            </w:r>
            <w:r w:rsidR="00FF491E" w:rsidRPr="006F6473">
              <w:rPr>
                <w:rFonts w:ascii="Times New Roman" w:eastAsia="MS Mincho" w:hAnsi="Times New Roman"/>
                <w:sz w:val="20"/>
                <w:szCs w:val="20"/>
              </w:rPr>
              <w:t>c</w:t>
            </w:r>
            <w:r w:rsidR="006B3C1C" w:rsidRPr="006F6473">
              <w:rPr>
                <w:rFonts w:ascii="Times New Roman" w:eastAsia="MS Mincho" w:hAnsi="Times New Roman"/>
                <w:sz w:val="20"/>
                <w:szCs w:val="20"/>
              </w:rPr>
              <w:t>.</w:t>
            </w:r>
            <w:r w:rsidR="00FF491E" w:rsidRPr="006F6473">
              <w:rPr>
                <w:rFonts w:ascii="Times New Roman" w:eastAsia="MS Mincho" w:hAnsi="Times New Roman"/>
                <w:sz w:val="20"/>
                <w:szCs w:val="20"/>
              </w:rPr>
              <w:t xml:space="preserve"> dotyczy wyłącznie papierów na okaziciela</w:t>
            </w:r>
            <w:r w:rsidR="00FF491E" w:rsidRPr="006F6473">
              <w:rPr>
                <w:rFonts w:ascii="Times New Roman" w:eastAsia="MS Mincho" w:hAnsi="Times New Roman"/>
                <w:b/>
                <w:sz w:val="20"/>
                <w:szCs w:val="20"/>
              </w:rPr>
              <w:t>.</w:t>
            </w:r>
          </w:p>
          <w:p w:rsidR="00FF491E" w:rsidRPr="006F6473" w:rsidRDefault="00600B13" w:rsidP="00ED613F">
            <w:pPr>
              <w:jc w:val="both"/>
              <w:rPr>
                <w:rFonts w:ascii="Times New Roman" w:eastAsia="MS Mincho" w:hAnsi="Times New Roman"/>
                <w:sz w:val="20"/>
                <w:szCs w:val="20"/>
              </w:rPr>
            </w:pPr>
            <w:r w:rsidRPr="006F6473">
              <w:rPr>
                <w:rFonts w:ascii="Times New Roman" w:eastAsia="MS Mincho" w:hAnsi="Times New Roman"/>
                <w:sz w:val="20"/>
                <w:szCs w:val="20"/>
              </w:rPr>
              <w:t>Uzasadnienie w omawianym zakresie zosta</w:t>
            </w:r>
            <w:r w:rsidR="005F1D4A" w:rsidRPr="006F6473">
              <w:rPr>
                <w:rFonts w:ascii="Times New Roman" w:eastAsia="MS Mincho" w:hAnsi="Times New Roman"/>
                <w:sz w:val="20"/>
                <w:szCs w:val="20"/>
              </w:rPr>
              <w:t>nie</w:t>
            </w:r>
            <w:r w:rsidRPr="006F6473">
              <w:rPr>
                <w:rFonts w:ascii="Times New Roman" w:eastAsia="MS Mincho" w:hAnsi="Times New Roman"/>
                <w:sz w:val="20"/>
                <w:szCs w:val="20"/>
              </w:rPr>
              <w:t xml:space="preserve"> stosownie uzupełnione.</w:t>
            </w:r>
          </w:p>
          <w:p w:rsidR="00600B13" w:rsidRPr="006F6473" w:rsidRDefault="00600B13"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307DE9" w:rsidRDefault="004C69DD" w:rsidP="00963770">
            <w:pPr>
              <w:jc w:val="both"/>
              <w:rPr>
                <w:rFonts w:ascii="Times New Roman" w:eastAsia="MS Mincho" w:hAnsi="Times New Roman"/>
                <w:sz w:val="20"/>
                <w:szCs w:val="20"/>
              </w:rPr>
            </w:pPr>
            <w:r>
              <w:rPr>
                <w:rFonts w:ascii="Times New Roman" w:eastAsia="MS Mincho" w:hAnsi="Times New Roman"/>
                <w:sz w:val="20"/>
                <w:szCs w:val="20"/>
              </w:rPr>
              <w:t>Wyjaśniono, że</w:t>
            </w:r>
            <w:r w:rsidR="00FF491E" w:rsidRPr="00ED613F">
              <w:rPr>
                <w:rFonts w:ascii="Times New Roman" w:eastAsia="MS Mincho" w:hAnsi="Times New Roman"/>
                <w:sz w:val="20"/>
                <w:szCs w:val="20"/>
              </w:rPr>
              <w:t xml:space="preserve"> projektowany system zapewnia znacznie większe gwarancje</w:t>
            </w:r>
            <w:r w:rsidR="00C11855">
              <w:rPr>
                <w:rFonts w:ascii="Times New Roman" w:eastAsia="MS Mincho" w:hAnsi="Times New Roman"/>
                <w:sz w:val="20"/>
                <w:szCs w:val="20"/>
              </w:rPr>
              <w:t xml:space="preserve"> praw akcjonariuszy</w:t>
            </w:r>
            <w:r w:rsidR="00FF491E" w:rsidRPr="00ED613F">
              <w:rPr>
                <w:rFonts w:ascii="Times New Roman" w:eastAsia="MS Mincho" w:hAnsi="Times New Roman"/>
                <w:sz w:val="20"/>
                <w:szCs w:val="20"/>
              </w:rPr>
              <w:t>, niż obecny system związany z wpisem praw do księgi akcyjnej</w:t>
            </w:r>
            <w:r w:rsidR="00722BB6">
              <w:rPr>
                <w:rFonts w:ascii="Times New Roman" w:eastAsia="MS Mincho" w:hAnsi="Times New Roman"/>
                <w:sz w:val="20"/>
                <w:szCs w:val="20"/>
              </w:rPr>
              <w:t>. Prowadzenie rejestru i dokonywanie wpisów</w:t>
            </w:r>
            <w:r w:rsidR="00FF491E" w:rsidRPr="00ED613F">
              <w:rPr>
                <w:rFonts w:ascii="Times New Roman" w:eastAsia="MS Mincho" w:hAnsi="Times New Roman"/>
                <w:sz w:val="20"/>
                <w:szCs w:val="20"/>
              </w:rPr>
              <w:t xml:space="preserve"> </w:t>
            </w:r>
            <w:r w:rsidR="00722BB6">
              <w:rPr>
                <w:rFonts w:ascii="Times New Roman" w:eastAsia="MS Mincho" w:hAnsi="Times New Roman"/>
                <w:sz w:val="20"/>
                <w:szCs w:val="20"/>
              </w:rPr>
              <w:t xml:space="preserve">będzie powierzone </w:t>
            </w:r>
            <w:r w:rsidR="00FF491E" w:rsidRPr="00ED613F">
              <w:rPr>
                <w:rFonts w:ascii="Times New Roman" w:eastAsia="MS Mincho" w:hAnsi="Times New Roman"/>
                <w:sz w:val="20"/>
                <w:szCs w:val="20"/>
              </w:rPr>
              <w:t>wyłącznie podmioto</w:t>
            </w:r>
            <w:r w:rsidR="00722BB6">
              <w:rPr>
                <w:rFonts w:ascii="Times New Roman" w:eastAsia="MS Mincho" w:hAnsi="Times New Roman"/>
                <w:sz w:val="20"/>
                <w:szCs w:val="20"/>
              </w:rPr>
              <w:t>m kwalifikowanym, uprawnionym</w:t>
            </w:r>
            <w:r w:rsidR="00FF491E" w:rsidRPr="00ED613F">
              <w:rPr>
                <w:rFonts w:ascii="Times New Roman" w:eastAsia="MS Mincho" w:hAnsi="Times New Roman"/>
                <w:sz w:val="20"/>
                <w:szCs w:val="20"/>
              </w:rPr>
              <w:t xml:space="preserve"> do prowadzenia rachunku papierów wartościowych w rozumieniu</w:t>
            </w:r>
            <w:r w:rsidR="00FF491E" w:rsidRPr="00ED613F">
              <w:rPr>
                <w:rFonts w:ascii="Times New Roman" w:eastAsia="MS Mincho" w:hAnsi="Times New Roman"/>
                <w:i/>
                <w:sz w:val="20"/>
                <w:szCs w:val="20"/>
              </w:rPr>
              <w:t xml:space="preserve"> ustawy o obrocie instrumentami</w:t>
            </w:r>
            <w:r w:rsidR="00FF491E" w:rsidRPr="00ED613F">
              <w:rPr>
                <w:rFonts w:ascii="Times New Roman" w:eastAsia="MS Mincho" w:hAnsi="Times New Roman"/>
                <w:sz w:val="20"/>
                <w:szCs w:val="20"/>
              </w:rPr>
              <w:t xml:space="preserve"> </w:t>
            </w:r>
            <w:r w:rsidR="00FF491E" w:rsidRPr="00ED613F">
              <w:rPr>
                <w:rFonts w:ascii="Times New Roman" w:eastAsia="MS Mincho" w:hAnsi="Times New Roman"/>
                <w:i/>
                <w:sz w:val="20"/>
                <w:szCs w:val="20"/>
              </w:rPr>
              <w:t xml:space="preserve">finansowymi, </w:t>
            </w:r>
            <w:r w:rsidR="00EC1230">
              <w:rPr>
                <w:rFonts w:ascii="Times New Roman" w:eastAsia="MS Mincho" w:hAnsi="Times New Roman"/>
                <w:sz w:val="20"/>
                <w:szCs w:val="20"/>
              </w:rPr>
              <w:t xml:space="preserve">pozostających pod nadzorem KNF. Nie przewiduje się możliwości prowadzenia rejestru przez samą spółkę, </w:t>
            </w:r>
            <w:r w:rsidR="0006236A">
              <w:rPr>
                <w:rFonts w:ascii="Times New Roman" w:eastAsia="MS Mincho" w:hAnsi="Times New Roman"/>
                <w:sz w:val="20"/>
                <w:szCs w:val="20"/>
              </w:rPr>
              <w:t xml:space="preserve">właśnie w celu wyeliminowania możliwości nieuzasadnionego wpływania </w:t>
            </w:r>
            <w:r w:rsidR="00E43308">
              <w:rPr>
                <w:rFonts w:ascii="Times New Roman" w:eastAsia="MS Mincho" w:hAnsi="Times New Roman"/>
                <w:sz w:val="20"/>
                <w:szCs w:val="20"/>
              </w:rPr>
              <w:t xml:space="preserve">zarządu na skład akcjonariatu spółki (co wyraźnie wskazano w uzasadnieniu). </w:t>
            </w:r>
            <w:r w:rsidR="00FF491E" w:rsidRPr="00ED613F">
              <w:rPr>
                <w:rFonts w:ascii="Times New Roman" w:eastAsia="MS Mincho" w:hAnsi="Times New Roman"/>
                <w:sz w:val="20"/>
                <w:szCs w:val="20"/>
              </w:rPr>
              <w:t>W projektowanym systemie akcjonariusz może żądać dokonywania wpisów w rejestrze (zob. art. 328</w:t>
            </w:r>
            <w:r w:rsidR="00FF491E" w:rsidRPr="00ED613F">
              <w:rPr>
                <w:rStyle w:val="IGindeksgrny"/>
                <w:rFonts w:ascii="Times New Roman" w:eastAsia="MS Mincho" w:hAnsi="Times New Roman"/>
                <w:sz w:val="20"/>
                <w:szCs w:val="20"/>
              </w:rPr>
              <w:t xml:space="preserve">6 </w:t>
            </w:r>
            <w:r w:rsidR="006E0028">
              <w:rPr>
                <w:rFonts w:ascii="Times New Roman" w:eastAsia="MS Mincho" w:hAnsi="Times New Roman"/>
                <w:sz w:val="20"/>
                <w:szCs w:val="20"/>
              </w:rPr>
              <w:t xml:space="preserve">§ 3 </w:t>
            </w:r>
            <w:proofErr w:type="spellStart"/>
            <w:r w:rsidR="00963770">
              <w:rPr>
                <w:rFonts w:ascii="Times New Roman" w:eastAsia="MS Mincho" w:hAnsi="Times New Roman"/>
                <w:sz w:val="20"/>
                <w:szCs w:val="20"/>
              </w:rPr>
              <w:t>k</w:t>
            </w:r>
            <w:r w:rsidR="006E0028">
              <w:rPr>
                <w:rFonts w:ascii="Times New Roman" w:eastAsia="MS Mincho" w:hAnsi="Times New Roman"/>
                <w:sz w:val="20"/>
                <w:szCs w:val="20"/>
              </w:rPr>
              <w:t>.s.h</w:t>
            </w:r>
            <w:proofErr w:type="spellEnd"/>
            <w:r w:rsidR="006E0028">
              <w:rPr>
                <w:rFonts w:ascii="Times New Roman" w:eastAsia="MS Mincho" w:hAnsi="Times New Roman"/>
                <w:sz w:val="20"/>
                <w:szCs w:val="20"/>
              </w:rPr>
              <w:t xml:space="preserve">.), a podmiot </w:t>
            </w:r>
            <w:r w:rsidR="006E0028">
              <w:rPr>
                <w:rFonts w:ascii="Times New Roman" w:eastAsia="MS Mincho" w:hAnsi="Times New Roman"/>
                <w:sz w:val="20"/>
                <w:szCs w:val="20"/>
              </w:rPr>
              <w:lastRenderedPageBreak/>
              <w:t>prowadzący rejestr ma obowiązek podjąć decyzje w przedmiocie tego wniosku w określonym w projekcie terminie.</w:t>
            </w:r>
            <w:r w:rsidR="00FF491E" w:rsidRPr="00ED613F">
              <w:rPr>
                <w:rFonts w:ascii="Times New Roman" w:eastAsia="MS Mincho" w:hAnsi="Times New Roman"/>
                <w:sz w:val="20"/>
                <w:szCs w:val="20"/>
              </w:rPr>
              <w:t xml:space="preserve"> </w:t>
            </w:r>
            <w:r w:rsidR="00C4695D">
              <w:rPr>
                <w:rFonts w:ascii="Times New Roman" w:eastAsia="MS Mincho" w:hAnsi="Times New Roman"/>
                <w:sz w:val="20"/>
                <w:szCs w:val="20"/>
              </w:rPr>
              <w:t xml:space="preserve">W razie ewentualnych sporów będą one rozstrzygane przez sąd, przy czym </w:t>
            </w:r>
            <w:r w:rsidR="009161D3">
              <w:rPr>
                <w:rFonts w:ascii="Times New Roman" w:eastAsia="MS Mincho" w:hAnsi="Times New Roman"/>
                <w:sz w:val="20"/>
                <w:szCs w:val="20"/>
              </w:rPr>
              <w:t>interes zainteresowanego może być w taki</w:t>
            </w:r>
            <w:r w:rsidR="00614ECD">
              <w:rPr>
                <w:rFonts w:ascii="Times New Roman" w:eastAsia="MS Mincho" w:hAnsi="Times New Roman"/>
                <w:sz w:val="20"/>
                <w:szCs w:val="20"/>
              </w:rPr>
              <w:t>ch</w:t>
            </w:r>
            <w:r w:rsidR="009161D3">
              <w:rPr>
                <w:rFonts w:ascii="Times New Roman" w:eastAsia="MS Mincho" w:hAnsi="Times New Roman"/>
                <w:sz w:val="20"/>
                <w:szCs w:val="20"/>
              </w:rPr>
              <w:t xml:space="preserve"> przypadkach efektywnie chroniony w drodze odpowiedniego zabezpieczenia powództwa </w:t>
            </w:r>
            <w:r w:rsidR="00614ECD">
              <w:rPr>
                <w:rFonts w:ascii="Times New Roman" w:eastAsia="MS Mincho" w:hAnsi="Times New Roman"/>
                <w:sz w:val="20"/>
                <w:szCs w:val="20"/>
              </w:rPr>
              <w:t>(wniosek o zabezpieczeni</w:t>
            </w:r>
            <w:r w:rsidR="00963770">
              <w:rPr>
                <w:rFonts w:ascii="Times New Roman" w:eastAsia="MS Mincho" w:hAnsi="Times New Roman"/>
                <w:sz w:val="20"/>
                <w:szCs w:val="20"/>
              </w:rPr>
              <w:t>e są</w:t>
            </w:r>
            <w:r w:rsidR="002D4EED">
              <w:rPr>
                <w:rFonts w:ascii="Times New Roman" w:eastAsia="MS Mincho" w:hAnsi="Times New Roman"/>
                <w:sz w:val="20"/>
                <w:szCs w:val="20"/>
              </w:rPr>
              <w:t>d rozpoznaje niezwłocznie, nie później jednak niż w terminie tygodnia – art. 737 k.p.c.).</w:t>
            </w:r>
          </w:p>
        </w:tc>
      </w:tr>
      <w:tr w:rsidR="00FF491E" w:rsidRPr="00ED613F" w:rsidTr="00ED613F">
        <w:trPr>
          <w:trHeight w:val="425"/>
        </w:trPr>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3.</w:t>
            </w:r>
          </w:p>
        </w:tc>
        <w:tc>
          <w:tcPr>
            <w:tcW w:w="2127" w:type="dxa"/>
          </w:tcPr>
          <w:p w:rsidR="00FF491E" w:rsidRPr="00ED613F" w:rsidRDefault="00FF491E" w:rsidP="00ED613F">
            <w:pPr>
              <w:spacing w:line="276" w:lineRule="auto"/>
              <w:rPr>
                <w:rFonts w:ascii="Times New Roman" w:eastAsia="MS Mincho" w:hAnsi="Times New Roman"/>
                <w:b/>
                <w:sz w:val="20"/>
                <w:szCs w:val="20"/>
              </w:rPr>
            </w:pPr>
            <w:r w:rsidRPr="00ED613F">
              <w:rPr>
                <w:rFonts w:ascii="Times New Roman" w:eastAsia="MS Mincho" w:hAnsi="Times New Roman"/>
                <w:b/>
                <w:sz w:val="20"/>
                <w:szCs w:val="20"/>
              </w:rPr>
              <w:t>(zasadność utrzymania podziału akcji na imienne i na okaziciela)</w:t>
            </w: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r w:rsidRPr="00ED613F">
              <w:rPr>
                <w:rFonts w:ascii="Times New Roman" w:eastAsia="MS Mincho" w:hAnsi="Times New Roman"/>
                <w:b/>
                <w:sz w:val="20"/>
                <w:szCs w:val="20"/>
              </w:rPr>
              <w:t xml:space="preserve">   </w:t>
            </w:r>
          </w:p>
          <w:p w:rsidR="00FF491E" w:rsidRPr="00ED613F" w:rsidRDefault="00FF491E" w:rsidP="00ED613F">
            <w:pPr>
              <w:spacing w:line="276" w:lineRule="auto"/>
              <w:rPr>
                <w:rFonts w:ascii="Times New Roman" w:eastAsia="MS Mincho" w:hAnsi="Times New Roman"/>
                <w:b/>
                <w:sz w:val="20"/>
                <w:szCs w:val="20"/>
              </w:rPr>
            </w:pPr>
          </w:p>
          <w:p w:rsidR="00FF491E" w:rsidRPr="00ED613F" w:rsidRDefault="00FF491E" w:rsidP="00ED613F">
            <w:pPr>
              <w:spacing w:line="276" w:lineRule="auto"/>
              <w:rPr>
                <w:rFonts w:ascii="Times New Roman" w:eastAsia="MS Mincho" w:hAnsi="Times New Roman"/>
                <w:b/>
                <w:sz w:val="20"/>
                <w:szCs w:val="20"/>
              </w:rPr>
            </w:pPr>
            <w:r w:rsidRPr="00ED613F">
              <w:rPr>
                <w:rFonts w:ascii="Times New Roman" w:eastAsia="MS Mincho" w:hAnsi="Times New Roman"/>
                <w:b/>
                <w:sz w:val="20"/>
                <w:szCs w:val="20"/>
              </w:rPr>
              <w:t>(pojęcie „akcji rejestrowej”)</w:t>
            </w: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Zrównanie statusu akcji na okaziciela i akcji imiennej rodzi pytanie o zasadność pozostawienia w przepisach Kodeksu spółek handlowych podziału na akcje imienne i na okaziciela, zwłaszcza, że wszystkie akcje mają być zdematerializowane. Wątpliwości budzi także okoliczność, że przepisy wskazujące na różnice między akcją na okaziciela, a akcją imienną zostają uchylane (por. art. 1 pkt 11, 12 i 22 projektu). W uzasadnieniu do projektu (str. 9 pkt 7) wskazano, że podział ten traci na znaczeniu, co znajduje wyraźne potwierdzenie w projektowanych przepisach. W myśl art. 1 pkt 6 projektu akcje zdematerializowane, a więc także na okaziciela, będą podlegać zarejestrowaniu w rejestrze akcjonariuszy, który z kolei zawiera m. in. takie dane, jak nazwisko i imię akcjonariusza oraz jego miejsce zamieszkania. </w:t>
            </w:r>
          </w:p>
          <w:p w:rsidR="002B5702"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 uzasadnieniu znalazła się informacja, że proponowane </w:t>
            </w:r>
            <w:r w:rsidRPr="00ED613F">
              <w:rPr>
                <w:rFonts w:ascii="Times New Roman" w:eastAsia="MS Mincho" w:hAnsi="Times New Roman"/>
                <w:sz w:val="20"/>
                <w:szCs w:val="20"/>
              </w:rPr>
              <w:br/>
              <w:t>w projekcie zmiany wprowadzają do polskiego prawa spółek pojęcie „akcji rejestrowej”. Należy jednak podkreślić, że projekt nie posługuje się takim pojęciem. Kwestia ta wymaga wyjaśnienia i ewentualnego uzupełnienia projektu ustawy albo zmodyfikowania treści uzasadnienia.</w:t>
            </w:r>
          </w:p>
        </w:tc>
        <w:tc>
          <w:tcPr>
            <w:tcW w:w="5436" w:type="dxa"/>
          </w:tcPr>
          <w:p w:rsidR="00FF491E" w:rsidRPr="00ED613F" w:rsidRDefault="0029218D" w:rsidP="00ED613F">
            <w:pPr>
              <w:jc w:val="both"/>
              <w:rPr>
                <w:rFonts w:ascii="Times New Roman" w:eastAsia="MS Mincho" w:hAnsi="Times New Roman"/>
                <w:sz w:val="20"/>
                <w:szCs w:val="20"/>
              </w:rPr>
            </w:pPr>
            <w:r>
              <w:rPr>
                <w:rFonts w:ascii="Times New Roman" w:eastAsia="MS Mincho" w:hAnsi="Times New Roman"/>
                <w:sz w:val="20"/>
                <w:szCs w:val="20"/>
              </w:rPr>
              <w:t xml:space="preserve">Wyjaśniono, że </w:t>
            </w:r>
            <w:r w:rsidR="004F7662">
              <w:rPr>
                <w:rFonts w:ascii="Times New Roman" w:eastAsia="MS Mincho" w:hAnsi="Times New Roman"/>
                <w:sz w:val="20"/>
                <w:szCs w:val="20"/>
              </w:rPr>
              <w:t>zasadniczym celem projektowanej regulacji jest zmiana formy nośnika akcji jako prawa udziałowego</w:t>
            </w:r>
            <w:r w:rsidR="0030545E">
              <w:rPr>
                <w:rFonts w:ascii="Times New Roman" w:eastAsia="MS Mincho" w:hAnsi="Times New Roman"/>
                <w:sz w:val="20"/>
                <w:szCs w:val="20"/>
              </w:rPr>
              <w:t xml:space="preserve">, a nie dokonywanie jeszcze głębszej zmiany systemowej w zakresie eliminacji podziału akcji na </w:t>
            </w:r>
            <w:r w:rsidR="00995CC1">
              <w:rPr>
                <w:rFonts w:ascii="Times New Roman" w:eastAsia="MS Mincho" w:hAnsi="Times New Roman"/>
                <w:sz w:val="20"/>
                <w:szCs w:val="20"/>
              </w:rPr>
              <w:t xml:space="preserve">akcje na </w:t>
            </w:r>
            <w:r w:rsidR="0030545E">
              <w:rPr>
                <w:rFonts w:ascii="Times New Roman" w:eastAsia="MS Mincho" w:hAnsi="Times New Roman"/>
                <w:sz w:val="20"/>
                <w:szCs w:val="20"/>
              </w:rPr>
              <w:t>okaziciela i akcj</w:t>
            </w:r>
            <w:r w:rsidR="00995CC1">
              <w:rPr>
                <w:rFonts w:ascii="Times New Roman" w:eastAsia="MS Mincho" w:hAnsi="Times New Roman"/>
                <w:sz w:val="20"/>
                <w:szCs w:val="20"/>
              </w:rPr>
              <w:t>e</w:t>
            </w:r>
            <w:r w:rsidR="0030545E">
              <w:rPr>
                <w:rFonts w:ascii="Times New Roman" w:eastAsia="MS Mincho" w:hAnsi="Times New Roman"/>
                <w:sz w:val="20"/>
                <w:szCs w:val="20"/>
              </w:rPr>
              <w:t xml:space="preserve"> imienne. Jakkolwiek w wyniku proponowanej </w:t>
            </w:r>
            <w:r w:rsidR="00B82B91">
              <w:rPr>
                <w:rFonts w:ascii="Times New Roman" w:eastAsia="MS Mincho" w:hAnsi="Times New Roman"/>
                <w:sz w:val="20"/>
                <w:szCs w:val="20"/>
              </w:rPr>
              <w:t>de</w:t>
            </w:r>
            <w:r w:rsidR="0030545E">
              <w:rPr>
                <w:rFonts w:ascii="Times New Roman" w:eastAsia="MS Mincho" w:hAnsi="Times New Roman"/>
                <w:sz w:val="20"/>
                <w:szCs w:val="20"/>
              </w:rPr>
              <w:t>materializacji</w:t>
            </w:r>
            <w:r w:rsidR="00B82B91">
              <w:rPr>
                <w:rFonts w:ascii="Times New Roman" w:eastAsia="MS Mincho" w:hAnsi="Times New Roman"/>
                <w:sz w:val="20"/>
                <w:szCs w:val="20"/>
              </w:rPr>
              <w:t xml:space="preserve"> </w:t>
            </w:r>
            <w:r w:rsidR="001E7422">
              <w:rPr>
                <w:rFonts w:ascii="Times New Roman" w:eastAsia="MS Mincho" w:hAnsi="Times New Roman"/>
                <w:sz w:val="20"/>
                <w:szCs w:val="20"/>
              </w:rPr>
              <w:t xml:space="preserve">rozróżnienie </w:t>
            </w:r>
            <w:r w:rsidR="001F6AFF">
              <w:rPr>
                <w:rFonts w:ascii="Times New Roman" w:eastAsia="MS Mincho" w:hAnsi="Times New Roman"/>
                <w:sz w:val="20"/>
                <w:szCs w:val="20"/>
              </w:rPr>
              <w:t xml:space="preserve">to </w:t>
            </w:r>
            <w:r w:rsidR="001E7422">
              <w:rPr>
                <w:rFonts w:ascii="Times New Roman" w:eastAsia="MS Mincho" w:hAnsi="Times New Roman"/>
                <w:sz w:val="20"/>
                <w:szCs w:val="20"/>
              </w:rPr>
              <w:t xml:space="preserve">straci w praktyce na znaczeniu, to jednak </w:t>
            </w:r>
            <w:r w:rsidRPr="0029218D">
              <w:rPr>
                <w:rFonts w:ascii="Times New Roman" w:eastAsia="MS Mincho" w:hAnsi="Times New Roman"/>
                <w:sz w:val="20"/>
                <w:szCs w:val="20"/>
              </w:rPr>
              <w:t xml:space="preserve">odejście od </w:t>
            </w:r>
            <w:r w:rsidR="001F6AFF">
              <w:rPr>
                <w:rFonts w:ascii="Times New Roman" w:eastAsia="MS Mincho" w:hAnsi="Times New Roman"/>
                <w:sz w:val="20"/>
                <w:szCs w:val="20"/>
              </w:rPr>
              <w:t xml:space="preserve">przedmiotowego </w:t>
            </w:r>
            <w:r w:rsidR="00444D00">
              <w:rPr>
                <w:rFonts w:ascii="Times New Roman" w:eastAsia="MS Mincho" w:hAnsi="Times New Roman"/>
                <w:sz w:val="20"/>
                <w:szCs w:val="20"/>
              </w:rPr>
              <w:t xml:space="preserve">podziału </w:t>
            </w:r>
            <w:r w:rsidRPr="0029218D">
              <w:rPr>
                <w:rFonts w:ascii="Times New Roman" w:eastAsia="MS Mincho" w:hAnsi="Times New Roman"/>
                <w:sz w:val="20"/>
                <w:szCs w:val="20"/>
              </w:rPr>
              <w:t xml:space="preserve">wymaga pogłębionych </w:t>
            </w:r>
            <w:r w:rsidR="00444D00">
              <w:rPr>
                <w:rFonts w:ascii="Times New Roman" w:eastAsia="MS Mincho" w:hAnsi="Times New Roman"/>
                <w:sz w:val="20"/>
                <w:szCs w:val="20"/>
              </w:rPr>
              <w:t>analiz</w:t>
            </w:r>
            <w:r w:rsidRPr="0029218D">
              <w:rPr>
                <w:rFonts w:ascii="Times New Roman" w:eastAsia="MS Mincho" w:hAnsi="Times New Roman"/>
                <w:sz w:val="20"/>
                <w:szCs w:val="20"/>
              </w:rPr>
              <w:t xml:space="preserve"> z punktu widzenia </w:t>
            </w:r>
            <w:r w:rsidR="00444D00">
              <w:rPr>
                <w:rFonts w:ascii="Times New Roman" w:eastAsia="MS Mincho" w:hAnsi="Times New Roman"/>
                <w:sz w:val="20"/>
                <w:szCs w:val="20"/>
              </w:rPr>
              <w:t xml:space="preserve">jego </w:t>
            </w:r>
            <w:r w:rsidRPr="0029218D">
              <w:rPr>
                <w:rFonts w:ascii="Times New Roman" w:eastAsia="MS Mincho" w:hAnsi="Times New Roman"/>
                <w:sz w:val="20"/>
                <w:szCs w:val="20"/>
              </w:rPr>
              <w:t xml:space="preserve">wpływu na stosunki w spółce i </w:t>
            </w:r>
            <w:r w:rsidR="00444D00">
              <w:rPr>
                <w:rFonts w:ascii="Times New Roman" w:eastAsia="MS Mincho" w:hAnsi="Times New Roman"/>
                <w:sz w:val="20"/>
                <w:szCs w:val="20"/>
              </w:rPr>
              <w:t>cały system prawa i w związku z tym powinno być następnym etapem</w:t>
            </w:r>
            <w:r w:rsidRPr="0029218D">
              <w:rPr>
                <w:rFonts w:ascii="Times New Roman" w:eastAsia="MS Mincho" w:hAnsi="Times New Roman"/>
                <w:sz w:val="20"/>
                <w:szCs w:val="20"/>
              </w:rPr>
              <w:t xml:space="preserve"> zmian. </w:t>
            </w:r>
            <w:r w:rsidR="004F7662">
              <w:rPr>
                <w:rFonts w:ascii="Times New Roman" w:eastAsia="MS Mincho" w:hAnsi="Times New Roman"/>
                <w:sz w:val="20"/>
                <w:szCs w:val="20"/>
              </w:rPr>
              <w:t>Świadomie w</w:t>
            </w:r>
            <w:r w:rsidRPr="0029218D">
              <w:rPr>
                <w:rFonts w:ascii="Times New Roman" w:eastAsia="MS Mincho" w:hAnsi="Times New Roman"/>
                <w:sz w:val="20"/>
                <w:szCs w:val="20"/>
              </w:rPr>
              <w:t xml:space="preserve">ybrano </w:t>
            </w:r>
            <w:r w:rsidR="00524C80">
              <w:rPr>
                <w:rFonts w:ascii="Times New Roman" w:eastAsia="MS Mincho" w:hAnsi="Times New Roman"/>
                <w:sz w:val="20"/>
                <w:szCs w:val="20"/>
              </w:rPr>
              <w:t xml:space="preserve">więc </w:t>
            </w:r>
            <w:r w:rsidRPr="0029218D">
              <w:rPr>
                <w:rFonts w:ascii="Times New Roman" w:eastAsia="MS Mincho" w:hAnsi="Times New Roman"/>
                <w:sz w:val="20"/>
                <w:szCs w:val="20"/>
              </w:rPr>
              <w:t>ewolucję</w:t>
            </w:r>
            <w:r w:rsidR="00524C80">
              <w:rPr>
                <w:rFonts w:ascii="Times New Roman" w:eastAsia="MS Mincho" w:hAnsi="Times New Roman"/>
                <w:sz w:val="20"/>
                <w:szCs w:val="20"/>
              </w:rPr>
              <w:t>, a nie rewolucję legislacyjną.</w:t>
            </w:r>
          </w:p>
          <w:p w:rsidR="00FF491E" w:rsidRPr="006F6473" w:rsidRDefault="00FF491E" w:rsidP="00ED613F">
            <w:pPr>
              <w:jc w:val="both"/>
              <w:rPr>
                <w:rFonts w:ascii="Times New Roman" w:eastAsia="MS Mincho" w:hAnsi="Times New Roman"/>
                <w:sz w:val="20"/>
                <w:szCs w:val="20"/>
              </w:rPr>
            </w:pPr>
          </w:p>
          <w:p w:rsidR="00AF1028" w:rsidRPr="006F6473" w:rsidRDefault="00AF1028" w:rsidP="0001390E">
            <w:pPr>
              <w:jc w:val="both"/>
              <w:rPr>
                <w:rFonts w:ascii="Times New Roman" w:eastAsia="MS Mincho" w:hAnsi="Times New Roman"/>
                <w:sz w:val="20"/>
                <w:szCs w:val="20"/>
              </w:rPr>
            </w:pPr>
          </w:p>
          <w:p w:rsidR="00FF491E" w:rsidRPr="006F6473" w:rsidRDefault="00407EA6" w:rsidP="0001390E">
            <w:pPr>
              <w:jc w:val="both"/>
              <w:rPr>
                <w:rFonts w:ascii="Times New Roman" w:eastAsia="MS Mincho" w:hAnsi="Times New Roman"/>
                <w:sz w:val="20"/>
                <w:szCs w:val="20"/>
              </w:rPr>
            </w:pPr>
            <w:r w:rsidRPr="006F6473">
              <w:rPr>
                <w:rFonts w:ascii="Times New Roman" w:eastAsia="MS Mincho" w:hAnsi="Times New Roman"/>
                <w:sz w:val="20"/>
                <w:szCs w:val="20"/>
              </w:rPr>
              <w:t>Uwaga została uwzględniona: projek</w:t>
            </w:r>
            <w:r w:rsidR="00BB0145" w:rsidRPr="006F6473">
              <w:rPr>
                <w:rFonts w:ascii="Times New Roman" w:eastAsia="MS Mincho" w:hAnsi="Times New Roman"/>
                <w:sz w:val="20"/>
                <w:szCs w:val="20"/>
              </w:rPr>
              <w:t>t nie będzie wprowadzał i posługiwał się pojęciem</w:t>
            </w:r>
            <w:r w:rsidRPr="006F6473">
              <w:rPr>
                <w:rFonts w:ascii="Times New Roman" w:eastAsia="MS Mincho" w:hAnsi="Times New Roman"/>
                <w:sz w:val="20"/>
                <w:szCs w:val="20"/>
              </w:rPr>
              <w:t xml:space="preserve"> akcji zdematerializowanych (stosowna zmiana art. 328 </w:t>
            </w:r>
            <w:proofErr w:type="spellStart"/>
            <w:r w:rsidRPr="006F6473">
              <w:rPr>
                <w:rFonts w:ascii="Times New Roman" w:eastAsia="MS Mincho" w:hAnsi="Times New Roman"/>
                <w:sz w:val="20"/>
                <w:szCs w:val="20"/>
              </w:rPr>
              <w:t>k.s.h</w:t>
            </w:r>
            <w:proofErr w:type="spellEnd"/>
            <w:r w:rsidR="00E41AAA" w:rsidRPr="006F6473">
              <w:rPr>
                <w:rFonts w:ascii="Times New Roman" w:eastAsia="MS Mincho" w:hAnsi="Times New Roman"/>
                <w:sz w:val="20"/>
                <w:szCs w:val="20"/>
              </w:rPr>
              <w:t>. i innych przepisów projektu, w których występ</w:t>
            </w:r>
            <w:r w:rsidR="00070E03" w:rsidRPr="006F6473">
              <w:rPr>
                <w:rFonts w:ascii="Times New Roman" w:eastAsia="MS Mincho" w:hAnsi="Times New Roman"/>
                <w:sz w:val="20"/>
                <w:szCs w:val="20"/>
              </w:rPr>
              <w:t>uje</w:t>
            </w:r>
            <w:r w:rsidR="00E41AAA" w:rsidRPr="006F6473">
              <w:rPr>
                <w:rFonts w:ascii="Times New Roman" w:eastAsia="MS Mincho" w:hAnsi="Times New Roman"/>
                <w:sz w:val="20"/>
                <w:szCs w:val="20"/>
              </w:rPr>
              <w:t xml:space="preserve"> to pojęcie</w:t>
            </w:r>
            <w:r w:rsidRPr="006F6473">
              <w:rPr>
                <w:rFonts w:ascii="Times New Roman" w:eastAsia="MS Mincho" w:hAnsi="Times New Roman"/>
                <w:sz w:val="20"/>
                <w:szCs w:val="20"/>
              </w:rPr>
              <w:t>)</w:t>
            </w:r>
            <w:r w:rsidR="00E41AAA" w:rsidRPr="006F6473">
              <w:rPr>
                <w:rFonts w:ascii="Times New Roman" w:eastAsia="MS Mincho" w:hAnsi="Times New Roman"/>
                <w:sz w:val="20"/>
                <w:szCs w:val="20"/>
              </w:rPr>
              <w:t xml:space="preserve">. </w:t>
            </w:r>
            <w:r w:rsidR="005516A3" w:rsidRPr="006F6473">
              <w:rPr>
                <w:rFonts w:ascii="Times New Roman" w:eastAsia="MS Mincho" w:hAnsi="Times New Roman"/>
                <w:sz w:val="20"/>
                <w:szCs w:val="20"/>
              </w:rPr>
              <w:t>W ten sposób pojęcie akcji zdematerializowanych będzie zarezerwowane dla reżimu spółki publicznej.</w:t>
            </w:r>
          </w:p>
          <w:p w:rsidR="005516A3" w:rsidRPr="00137103" w:rsidRDefault="005516A3" w:rsidP="005F1D4A">
            <w:pPr>
              <w:jc w:val="both"/>
              <w:rPr>
                <w:rFonts w:ascii="Times New Roman" w:eastAsia="MS Mincho" w:hAnsi="Times New Roman"/>
                <w:sz w:val="20"/>
                <w:szCs w:val="20"/>
              </w:rPr>
            </w:pPr>
            <w:r w:rsidRPr="006F6473">
              <w:rPr>
                <w:rFonts w:ascii="Times New Roman" w:eastAsia="MS Mincho" w:hAnsi="Times New Roman"/>
                <w:sz w:val="20"/>
                <w:szCs w:val="20"/>
              </w:rPr>
              <w:t>Jednocześnie wprowadzon</w:t>
            </w:r>
            <w:r w:rsidR="005F1D4A" w:rsidRPr="006F6473">
              <w:rPr>
                <w:rFonts w:ascii="Times New Roman" w:eastAsia="MS Mincho" w:hAnsi="Times New Roman"/>
                <w:sz w:val="20"/>
                <w:szCs w:val="20"/>
              </w:rPr>
              <w:t xml:space="preserve">e zostanie </w:t>
            </w:r>
            <w:r w:rsidRPr="006F6473">
              <w:rPr>
                <w:rFonts w:ascii="Times New Roman" w:eastAsia="MS Mincho" w:hAnsi="Times New Roman"/>
                <w:sz w:val="20"/>
                <w:szCs w:val="20"/>
              </w:rPr>
              <w:t>pojęcie akcji rejestrowej</w:t>
            </w:r>
            <w:r w:rsidR="00137103" w:rsidRPr="006F6473">
              <w:rPr>
                <w:rFonts w:ascii="Times New Roman" w:eastAsia="MS Mincho" w:hAnsi="Times New Roman"/>
                <w:sz w:val="20"/>
                <w:szCs w:val="20"/>
              </w:rPr>
              <w:t xml:space="preserve"> – zmi</w:t>
            </w:r>
            <w:r w:rsidR="005F1D4A" w:rsidRPr="006F6473">
              <w:rPr>
                <w:rFonts w:ascii="Times New Roman" w:eastAsia="MS Mincho" w:hAnsi="Times New Roman"/>
                <w:sz w:val="20"/>
                <w:szCs w:val="20"/>
              </w:rPr>
              <w:t>anie ulegnie</w:t>
            </w:r>
            <w:r w:rsidR="00137103" w:rsidRPr="006F6473">
              <w:rPr>
                <w:rFonts w:ascii="Times New Roman" w:eastAsia="MS Mincho" w:hAnsi="Times New Roman"/>
                <w:sz w:val="20"/>
                <w:szCs w:val="20"/>
              </w:rPr>
              <w:t xml:space="preserve"> projektowany art. 328</w:t>
            </w:r>
            <w:r w:rsidR="00137103" w:rsidRPr="006F6473">
              <w:rPr>
                <w:rFonts w:ascii="Times New Roman" w:eastAsia="MS Mincho" w:hAnsi="Times New Roman"/>
                <w:sz w:val="20"/>
                <w:szCs w:val="20"/>
                <w:vertAlign w:val="superscript"/>
              </w:rPr>
              <w:t xml:space="preserve">1 </w:t>
            </w:r>
            <w:proofErr w:type="spellStart"/>
            <w:r w:rsidR="00137103" w:rsidRPr="006F6473">
              <w:rPr>
                <w:rFonts w:ascii="Times New Roman" w:eastAsia="MS Mincho" w:hAnsi="Times New Roman"/>
                <w:sz w:val="20"/>
                <w:szCs w:val="20"/>
              </w:rPr>
              <w:t>k.s.h</w:t>
            </w:r>
            <w:proofErr w:type="spellEnd"/>
            <w:r w:rsidR="00137103" w:rsidRPr="006F6473">
              <w:rPr>
                <w:rFonts w:ascii="Times New Roman" w:eastAsia="MS Mincho" w:hAnsi="Times New Roman"/>
                <w:sz w:val="20"/>
                <w:szCs w:val="20"/>
              </w:rPr>
              <w:t>.</w:t>
            </w:r>
          </w:p>
        </w:tc>
      </w:tr>
      <w:tr w:rsidR="00FF491E" w:rsidRPr="00ED613F" w:rsidTr="00ED613F">
        <w:trPr>
          <w:trHeight w:val="425"/>
        </w:trPr>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4.</w:t>
            </w:r>
          </w:p>
        </w:tc>
        <w:tc>
          <w:tcPr>
            <w:tcW w:w="2127" w:type="dxa"/>
          </w:tcPr>
          <w:p w:rsidR="00FF491E" w:rsidRPr="00ED613F" w:rsidRDefault="00FF491E" w:rsidP="00ED613F">
            <w:pPr>
              <w:spacing w:line="276" w:lineRule="auto"/>
              <w:rPr>
                <w:rFonts w:ascii="Times New Roman" w:eastAsia="MS Mincho" w:hAnsi="Times New Roman"/>
                <w:b/>
                <w:sz w:val="20"/>
                <w:szCs w:val="20"/>
              </w:rPr>
            </w:pPr>
            <w:r w:rsidRPr="00ED613F">
              <w:rPr>
                <w:rFonts w:ascii="Times New Roman" w:eastAsia="MS Mincho" w:hAnsi="Times New Roman"/>
                <w:b/>
                <w:sz w:val="20"/>
                <w:szCs w:val="20"/>
              </w:rPr>
              <w:t xml:space="preserve">(metoda regulacji / niespójność systemowa z </w:t>
            </w:r>
            <w:proofErr w:type="spellStart"/>
            <w:r w:rsidRPr="00ED613F">
              <w:rPr>
                <w:rFonts w:ascii="Times New Roman" w:eastAsia="MS Mincho" w:hAnsi="Times New Roman"/>
                <w:b/>
                <w:sz w:val="20"/>
                <w:szCs w:val="20"/>
              </w:rPr>
              <w:t>u.o.i.f</w:t>
            </w:r>
            <w:proofErr w:type="spellEnd"/>
            <w:r w:rsidRPr="00ED613F">
              <w:rPr>
                <w:rFonts w:ascii="Times New Roman" w:eastAsia="MS Mincho" w:hAnsi="Times New Roman"/>
                <w:b/>
                <w:sz w:val="20"/>
                <w:szCs w:val="20"/>
              </w:rPr>
              <w:t>.)</w:t>
            </w: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Nie kwestionując zasadności wprowadzenia do krajowego porządku prawnego przymusu dematerializacji akcji, zauważenia wymaga, iż jak się wydaje, projekt pomija odmienną, zarówno pod względem celu, jak i funkcjonalności, zasadę dematerializacji akcji przyjętą na potrzeby ustawy o obrocie instrumentami finansowymi. Określona w art. 5 tej ustawy zasada dematerializacji akcji poprzez ich zarejestrowanie w depozycie papierów wartościowych służy przede wszystkim zapewnieniu sprawnego obrotu tymi akcjami w obrocie zorganizowanym, podczas gdy celem projektowanej ustawy jest wyeliminowanie z obiegu akcji w formie dokumentu, a co za tym idzie zastąpienie akcji na okaziciela akcjami rejestrowymi oraz umożliwienie spółce akcyjnej identyfikacji jej akcjonariuszy. Brak spójnego podejścia w tym zakresie implikuje szereg wątpliwości na gruncie praktycznego stosowania przepisów projektowanej ustawy, w szczególności w </w:t>
            </w:r>
            <w:r w:rsidRPr="00ED613F">
              <w:rPr>
                <w:rFonts w:ascii="Times New Roman" w:eastAsia="MS Mincho" w:hAnsi="Times New Roman"/>
                <w:sz w:val="20"/>
                <w:szCs w:val="20"/>
              </w:rPr>
              <w:lastRenderedPageBreak/>
              <w:t xml:space="preserve">kontekście zastosowania nowelizowanych przepisów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do spółek publicznych.</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Przykładowo można wskazać, iż zgodnie z projektowanym art. 328</w:t>
            </w:r>
            <w:r w:rsidRPr="00ED613F">
              <w:rPr>
                <w:rFonts w:ascii="Times New Roman" w:eastAsia="MS Mincho" w:hAnsi="Times New Roman"/>
                <w:sz w:val="20"/>
                <w:szCs w:val="20"/>
                <w:vertAlign w:val="superscript"/>
              </w:rPr>
              <w:t>1</w:t>
            </w:r>
            <w:r w:rsidRPr="00ED613F">
              <w:rPr>
                <w:rFonts w:ascii="Times New Roman" w:eastAsia="MS Mincho" w:hAnsi="Times New Roman"/>
                <w:sz w:val="20"/>
                <w:szCs w:val="20"/>
              </w:rPr>
              <w:t xml:space="preserve"> wszystkie akcje spółki publicznej nie mogą mieć formy dokumentu (akcje zdematerializowane), podczas gdy zgodnie z art. 5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 xml:space="preserve">. wyłącznie akcje będące przedmiotem szeroko rozumianego obrotu zorganizowanego nie mają formy dokumentu, a więc ustawa o obrocie dopuszcza sytuację, w której część z akcji spółki publicznej nie podlega rejestracji. Podobnie przepis art. 5a nie wskazuje na bezwzględny obowiązek rejestracji wszystkich akcji danej spółki. Przepis ten daje bowiem spółce prawo a nie obowiązek rejestracji akcji w depozycie papierów wartościowych.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Powstaje zatem pytanie, jakie przepisy mają zastosowanie do akcji spółki publicznej niezarejestrowanych zgodnie z art. 5 lub 5a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 skoro projektowany art. 328</w:t>
            </w:r>
            <w:r w:rsidRPr="00ED613F">
              <w:rPr>
                <w:rFonts w:ascii="Times New Roman" w:eastAsia="MS Mincho" w:hAnsi="Times New Roman"/>
                <w:sz w:val="20"/>
                <w:szCs w:val="20"/>
                <w:vertAlign w:val="superscript"/>
              </w:rPr>
              <w:t>12</w:t>
            </w:r>
            <w:r w:rsidRPr="00ED613F">
              <w:rPr>
                <w:rFonts w:ascii="Times New Roman" w:eastAsia="MS Mincho" w:hAnsi="Times New Roman"/>
                <w:sz w:val="20"/>
                <w:szCs w:val="20"/>
              </w:rPr>
              <w:t xml:space="preserve">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wskazuje wprost, że akcje tej samej spółki nie mogą być zarejestrowane jednocześnie w rejestrze akcjonariuszy i w depozycie papierów wartościowych w rozumieniu przepisów ustawy o obrocie.</w:t>
            </w:r>
          </w:p>
        </w:tc>
        <w:tc>
          <w:tcPr>
            <w:tcW w:w="5436" w:type="dxa"/>
          </w:tcPr>
          <w:p w:rsidR="00FF491E" w:rsidRPr="006F6473" w:rsidRDefault="00477BD9" w:rsidP="008A3357">
            <w:pPr>
              <w:jc w:val="both"/>
              <w:rPr>
                <w:rFonts w:ascii="Times New Roman" w:eastAsia="MS Mincho" w:hAnsi="Times New Roman"/>
                <w:sz w:val="20"/>
                <w:szCs w:val="20"/>
              </w:rPr>
            </w:pPr>
            <w:r w:rsidRPr="006F6473">
              <w:rPr>
                <w:rFonts w:ascii="Times New Roman" w:eastAsia="MS Mincho" w:hAnsi="Times New Roman"/>
                <w:sz w:val="20"/>
                <w:szCs w:val="20"/>
              </w:rPr>
              <w:lastRenderedPageBreak/>
              <w:t xml:space="preserve">Wyjaśniono, </w:t>
            </w:r>
            <w:r w:rsidR="00FF491E" w:rsidRPr="006F6473">
              <w:rPr>
                <w:rFonts w:ascii="Times New Roman" w:eastAsia="MS Mincho" w:hAnsi="Times New Roman"/>
                <w:sz w:val="20"/>
                <w:szCs w:val="20"/>
              </w:rPr>
              <w:t xml:space="preserve">że cel wyrażony w art. 5 ustawy o obrocie  instrumentami finansowymi i cel </w:t>
            </w:r>
            <w:r w:rsidR="0087699E" w:rsidRPr="006F6473">
              <w:rPr>
                <w:rFonts w:ascii="Times New Roman" w:eastAsia="MS Mincho" w:hAnsi="Times New Roman"/>
                <w:sz w:val="20"/>
                <w:szCs w:val="20"/>
              </w:rPr>
              <w:t xml:space="preserve">niniejszego </w:t>
            </w:r>
            <w:r w:rsidR="00FF491E" w:rsidRPr="006F6473">
              <w:rPr>
                <w:rFonts w:ascii="Times New Roman" w:eastAsia="MS Mincho" w:hAnsi="Times New Roman"/>
                <w:sz w:val="20"/>
                <w:szCs w:val="20"/>
              </w:rPr>
              <w:t xml:space="preserve">projektu jest tożsamy. Nie ma tu sprzeczności. </w:t>
            </w:r>
            <w:r w:rsidR="00A47A73" w:rsidRPr="006F6473">
              <w:rPr>
                <w:rFonts w:ascii="Times New Roman" w:eastAsia="MS Mincho" w:hAnsi="Times New Roman"/>
                <w:sz w:val="20"/>
                <w:szCs w:val="20"/>
              </w:rPr>
              <w:t>Projektowane przepisy k</w:t>
            </w:r>
            <w:r w:rsidR="00FF491E" w:rsidRPr="006F6473">
              <w:rPr>
                <w:rFonts w:ascii="Times New Roman" w:eastAsia="MS Mincho" w:hAnsi="Times New Roman"/>
                <w:sz w:val="20"/>
                <w:szCs w:val="20"/>
              </w:rPr>
              <w:t>odeksu spółek handlowych</w:t>
            </w:r>
            <w:r w:rsidR="00A47A73" w:rsidRPr="006F6473">
              <w:rPr>
                <w:rFonts w:ascii="Times New Roman" w:eastAsia="MS Mincho" w:hAnsi="Times New Roman"/>
                <w:sz w:val="20"/>
                <w:szCs w:val="20"/>
              </w:rPr>
              <w:t xml:space="preserve"> wprowadzają ogólny obowiązek dematerializacji akcji, obejmujący także spółki publiczne</w:t>
            </w:r>
            <w:r w:rsidR="008A3357" w:rsidRPr="006F6473">
              <w:rPr>
                <w:rFonts w:ascii="Times New Roman" w:eastAsia="MS Mincho" w:hAnsi="Times New Roman"/>
                <w:sz w:val="20"/>
                <w:szCs w:val="20"/>
              </w:rPr>
              <w:t>. Te ostatnie jednak w dalszym ciągu realizują ten obowiązek</w:t>
            </w:r>
            <w:r w:rsidR="00FF491E" w:rsidRPr="006F6473">
              <w:rPr>
                <w:rFonts w:ascii="Times New Roman" w:eastAsia="MS Mincho" w:hAnsi="Times New Roman"/>
                <w:sz w:val="20"/>
                <w:szCs w:val="20"/>
              </w:rPr>
              <w:t xml:space="preserve"> na podstawie reżimu ustawy o obrocie instrumentami finansowymi. </w:t>
            </w:r>
          </w:p>
          <w:p w:rsidR="00FF491E" w:rsidRPr="006F6473" w:rsidRDefault="0001390E" w:rsidP="00ED613F">
            <w:pPr>
              <w:spacing w:line="276" w:lineRule="auto"/>
              <w:jc w:val="both"/>
              <w:rPr>
                <w:rFonts w:ascii="Times New Roman" w:eastAsia="MS Mincho" w:hAnsi="Times New Roman"/>
                <w:sz w:val="20"/>
                <w:szCs w:val="20"/>
              </w:rPr>
            </w:pPr>
            <w:r w:rsidRPr="006F6473">
              <w:rPr>
                <w:rFonts w:ascii="Times New Roman" w:eastAsia="MS Mincho" w:hAnsi="Times New Roman"/>
                <w:sz w:val="20"/>
                <w:szCs w:val="20"/>
              </w:rPr>
              <w:t>Wprowadzenie pojęcia „akcji rejestrowej” wykluczy dalsze wątpliwości.</w:t>
            </w:r>
          </w:p>
          <w:p w:rsidR="00FF491E" w:rsidRPr="006F6473" w:rsidRDefault="00FF491E" w:rsidP="00ED613F">
            <w:pPr>
              <w:spacing w:line="276" w:lineRule="auto"/>
              <w:jc w:val="both"/>
              <w:rPr>
                <w:rFonts w:ascii="Times New Roman" w:eastAsia="MS Mincho" w:hAnsi="Times New Roman"/>
                <w:sz w:val="20"/>
                <w:szCs w:val="20"/>
              </w:rPr>
            </w:pPr>
          </w:p>
          <w:p w:rsidR="00FF491E" w:rsidRPr="006F6473" w:rsidRDefault="00FF491E" w:rsidP="00ED613F">
            <w:pPr>
              <w:spacing w:line="276" w:lineRule="auto"/>
              <w:jc w:val="both"/>
              <w:rPr>
                <w:rFonts w:ascii="Times New Roman" w:eastAsia="MS Mincho" w:hAnsi="Times New Roman"/>
                <w:sz w:val="20"/>
                <w:szCs w:val="20"/>
              </w:rPr>
            </w:pPr>
          </w:p>
          <w:p w:rsidR="00FF491E" w:rsidRPr="006F6473" w:rsidRDefault="00FF491E" w:rsidP="00ED613F">
            <w:pPr>
              <w:spacing w:line="276" w:lineRule="auto"/>
              <w:jc w:val="both"/>
              <w:rPr>
                <w:rFonts w:ascii="Times New Roman" w:eastAsia="MS Mincho" w:hAnsi="Times New Roman"/>
                <w:sz w:val="20"/>
                <w:szCs w:val="20"/>
              </w:rPr>
            </w:pPr>
          </w:p>
          <w:p w:rsidR="001B25C1" w:rsidRPr="006F6473" w:rsidRDefault="001B25C1" w:rsidP="00ED613F">
            <w:pPr>
              <w:jc w:val="both"/>
              <w:rPr>
                <w:rFonts w:ascii="Times New Roman" w:eastAsia="MS Mincho" w:hAnsi="Times New Roman"/>
                <w:sz w:val="20"/>
                <w:szCs w:val="20"/>
              </w:rPr>
            </w:pPr>
          </w:p>
          <w:p w:rsidR="001B25C1" w:rsidRPr="006F6473" w:rsidRDefault="001B25C1" w:rsidP="00ED613F">
            <w:pPr>
              <w:jc w:val="both"/>
              <w:rPr>
                <w:rFonts w:ascii="Times New Roman" w:eastAsia="MS Mincho" w:hAnsi="Times New Roman"/>
                <w:sz w:val="20"/>
                <w:szCs w:val="20"/>
              </w:rPr>
            </w:pPr>
          </w:p>
          <w:p w:rsidR="00BA4282" w:rsidRPr="006F6473" w:rsidRDefault="00BA4282" w:rsidP="00ED613F">
            <w:pPr>
              <w:jc w:val="both"/>
              <w:rPr>
                <w:rFonts w:ascii="Times New Roman" w:eastAsia="MS Mincho" w:hAnsi="Times New Roman"/>
                <w:sz w:val="20"/>
                <w:szCs w:val="20"/>
              </w:rPr>
            </w:pPr>
          </w:p>
          <w:p w:rsidR="001B25C1" w:rsidRPr="006F6473" w:rsidRDefault="001B25C1" w:rsidP="00ED613F">
            <w:pPr>
              <w:jc w:val="both"/>
              <w:rPr>
                <w:rFonts w:ascii="Times New Roman" w:eastAsia="MS Mincho" w:hAnsi="Times New Roman"/>
                <w:sz w:val="20"/>
                <w:szCs w:val="20"/>
              </w:rPr>
            </w:pPr>
          </w:p>
          <w:p w:rsidR="002C3AB8" w:rsidRPr="006F6473" w:rsidRDefault="001B25C1" w:rsidP="002C3AB8">
            <w:pPr>
              <w:jc w:val="both"/>
              <w:rPr>
                <w:rFonts w:ascii="Times New Roman" w:eastAsia="MS Mincho" w:hAnsi="Times New Roman"/>
                <w:sz w:val="20"/>
                <w:szCs w:val="20"/>
              </w:rPr>
            </w:pPr>
            <w:r w:rsidRPr="006F6473">
              <w:rPr>
                <w:rFonts w:ascii="Times New Roman" w:eastAsia="MS Mincho" w:hAnsi="Times New Roman"/>
                <w:sz w:val="20"/>
                <w:szCs w:val="20"/>
              </w:rPr>
              <w:t xml:space="preserve">Wskazano, że </w:t>
            </w:r>
            <w:r w:rsidR="00561D07" w:rsidRPr="006F6473">
              <w:rPr>
                <w:rFonts w:ascii="Times New Roman" w:eastAsia="MS Mincho" w:hAnsi="Times New Roman"/>
                <w:sz w:val="20"/>
                <w:szCs w:val="20"/>
              </w:rPr>
              <w:t>zgodnie z projektowanym</w:t>
            </w:r>
            <w:r w:rsidR="002C3AB8" w:rsidRPr="006F6473">
              <w:rPr>
                <w:rFonts w:ascii="Times New Roman" w:eastAsia="MS Mincho" w:hAnsi="Times New Roman"/>
                <w:sz w:val="20"/>
                <w:szCs w:val="20"/>
              </w:rPr>
              <w:t>i</w:t>
            </w:r>
            <w:r w:rsidR="00561D07" w:rsidRPr="006F6473">
              <w:rPr>
                <w:rFonts w:ascii="Times New Roman" w:eastAsia="MS Mincho" w:hAnsi="Times New Roman"/>
                <w:sz w:val="20"/>
                <w:szCs w:val="20"/>
              </w:rPr>
              <w:t xml:space="preserve"> rozwiązani</w:t>
            </w:r>
            <w:r w:rsidR="002C3AB8" w:rsidRPr="006F6473">
              <w:rPr>
                <w:rFonts w:ascii="Times New Roman" w:eastAsia="MS Mincho" w:hAnsi="Times New Roman"/>
                <w:sz w:val="20"/>
                <w:szCs w:val="20"/>
              </w:rPr>
              <w:t>a</w:t>
            </w:r>
            <w:r w:rsidR="00070840" w:rsidRPr="006F6473">
              <w:rPr>
                <w:rFonts w:ascii="Times New Roman" w:eastAsia="MS Mincho" w:hAnsi="Times New Roman"/>
                <w:sz w:val="20"/>
                <w:szCs w:val="20"/>
              </w:rPr>
              <w:t>mi</w:t>
            </w:r>
            <w:r w:rsidR="00561D07" w:rsidRPr="006F6473">
              <w:rPr>
                <w:rFonts w:ascii="Times New Roman" w:eastAsia="MS Mincho" w:hAnsi="Times New Roman"/>
                <w:sz w:val="20"/>
                <w:szCs w:val="20"/>
              </w:rPr>
              <w:t xml:space="preserve"> dematerializacji podlegać będą wszystkie akcje także w spółce </w:t>
            </w:r>
            <w:r w:rsidR="002C3AB8" w:rsidRPr="006F6473">
              <w:rPr>
                <w:rFonts w:ascii="Times New Roman" w:eastAsia="MS Mincho" w:hAnsi="Times New Roman"/>
                <w:sz w:val="20"/>
                <w:szCs w:val="20"/>
              </w:rPr>
              <w:t xml:space="preserve">publicznej (vide w/w ogólny art. 328 </w:t>
            </w:r>
            <w:proofErr w:type="spellStart"/>
            <w:r w:rsidR="002C3AB8" w:rsidRPr="006F6473">
              <w:rPr>
                <w:rFonts w:ascii="Times New Roman" w:eastAsia="MS Mincho" w:hAnsi="Times New Roman"/>
                <w:sz w:val="20"/>
                <w:szCs w:val="20"/>
              </w:rPr>
              <w:t>k.s.h</w:t>
            </w:r>
            <w:proofErr w:type="spellEnd"/>
            <w:r w:rsidR="002C3AB8" w:rsidRPr="006F6473">
              <w:rPr>
                <w:rFonts w:ascii="Times New Roman" w:eastAsia="MS Mincho" w:hAnsi="Times New Roman"/>
                <w:sz w:val="20"/>
                <w:szCs w:val="20"/>
              </w:rPr>
              <w:t xml:space="preserve">.). Projekt zostanie uzupełniony o </w:t>
            </w:r>
            <w:r w:rsidR="005747A3" w:rsidRPr="006F6473">
              <w:rPr>
                <w:rFonts w:ascii="Times New Roman" w:eastAsia="MS Mincho" w:hAnsi="Times New Roman"/>
                <w:sz w:val="20"/>
                <w:szCs w:val="20"/>
              </w:rPr>
              <w:t xml:space="preserve">niezbędne </w:t>
            </w:r>
            <w:r w:rsidR="002C3AB8" w:rsidRPr="006F6473">
              <w:rPr>
                <w:rFonts w:ascii="Times New Roman" w:eastAsia="MS Mincho" w:hAnsi="Times New Roman"/>
                <w:sz w:val="20"/>
                <w:szCs w:val="20"/>
              </w:rPr>
              <w:t>zmiany w ustawie o obrocie instrumentami finansowymi</w:t>
            </w:r>
            <w:r w:rsidR="005747A3" w:rsidRPr="006F6473">
              <w:rPr>
                <w:rFonts w:ascii="Times New Roman" w:eastAsia="MS Mincho" w:hAnsi="Times New Roman"/>
                <w:sz w:val="20"/>
                <w:szCs w:val="20"/>
              </w:rPr>
              <w:t xml:space="preserve">, które obejmą </w:t>
            </w:r>
            <w:r w:rsidR="00AF2636" w:rsidRPr="006F6473">
              <w:rPr>
                <w:rFonts w:ascii="Times New Roman" w:eastAsia="MS Mincho" w:hAnsi="Times New Roman"/>
                <w:sz w:val="20"/>
                <w:szCs w:val="20"/>
              </w:rPr>
              <w:t>m.in. art. 5 i 5a tej ustawy</w:t>
            </w:r>
            <w:r w:rsidR="005747A3" w:rsidRPr="006F6473">
              <w:rPr>
                <w:rFonts w:ascii="Times New Roman" w:eastAsia="MS Mincho" w:hAnsi="Times New Roman"/>
                <w:sz w:val="20"/>
                <w:szCs w:val="20"/>
              </w:rPr>
              <w:t xml:space="preserve">, </w:t>
            </w:r>
            <w:r w:rsidR="002C3AB8" w:rsidRPr="006F6473">
              <w:rPr>
                <w:rFonts w:ascii="Times New Roman" w:eastAsia="MS Mincho" w:hAnsi="Times New Roman"/>
                <w:sz w:val="20"/>
                <w:szCs w:val="20"/>
              </w:rPr>
              <w:t>na podstawie propozycji</w:t>
            </w:r>
            <w:r w:rsidR="00AF2636" w:rsidRPr="006F6473">
              <w:rPr>
                <w:rFonts w:ascii="Times New Roman" w:eastAsia="MS Mincho" w:hAnsi="Times New Roman"/>
                <w:sz w:val="20"/>
                <w:szCs w:val="20"/>
              </w:rPr>
              <w:t xml:space="preserve">, które przedstawi </w:t>
            </w:r>
            <w:r w:rsidR="005747A3" w:rsidRPr="006F6473">
              <w:rPr>
                <w:rFonts w:ascii="Times New Roman" w:eastAsia="MS Mincho" w:hAnsi="Times New Roman"/>
                <w:sz w:val="20"/>
                <w:szCs w:val="20"/>
              </w:rPr>
              <w:t>KNF.</w:t>
            </w:r>
          </w:p>
          <w:p w:rsidR="002C3AB8" w:rsidRPr="006F6473" w:rsidRDefault="002C3AB8" w:rsidP="002C3AB8">
            <w:pPr>
              <w:jc w:val="both"/>
              <w:rPr>
                <w:rFonts w:ascii="Times New Roman" w:eastAsia="MS Mincho" w:hAnsi="Times New Roman"/>
                <w:sz w:val="20"/>
                <w:szCs w:val="20"/>
              </w:rPr>
            </w:pPr>
          </w:p>
          <w:p w:rsidR="00FF491E" w:rsidRPr="006F6473" w:rsidRDefault="00FF491E" w:rsidP="00ED613F">
            <w:pPr>
              <w:spacing w:line="276" w:lineRule="auto"/>
              <w:jc w:val="both"/>
              <w:rPr>
                <w:rFonts w:ascii="Times New Roman" w:eastAsia="MS Mincho" w:hAnsi="Times New Roman"/>
                <w:sz w:val="20"/>
                <w:szCs w:val="20"/>
              </w:rPr>
            </w:pPr>
          </w:p>
          <w:p w:rsidR="00FF491E" w:rsidRPr="006F6473" w:rsidRDefault="00FF491E" w:rsidP="00ED613F">
            <w:pPr>
              <w:spacing w:line="276" w:lineRule="auto"/>
              <w:jc w:val="both"/>
              <w:rPr>
                <w:rFonts w:ascii="Times New Roman" w:eastAsia="MS Mincho" w:hAnsi="Times New Roman"/>
                <w:sz w:val="20"/>
                <w:szCs w:val="20"/>
              </w:rPr>
            </w:pPr>
          </w:p>
          <w:p w:rsidR="00FF491E" w:rsidRPr="006F6473" w:rsidRDefault="00FF491E" w:rsidP="00ED613F">
            <w:pPr>
              <w:spacing w:line="276" w:lineRule="auto"/>
              <w:jc w:val="both"/>
              <w:rPr>
                <w:rFonts w:ascii="Times New Roman" w:eastAsia="MS Mincho" w:hAnsi="Times New Roman"/>
                <w:sz w:val="20"/>
                <w:szCs w:val="20"/>
              </w:rPr>
            </w:pPr>
          </w:p>
          <w:p w:rsidR="000E79E8" w:rsidRPr="006F6473" w:rsidRDefault="000E79E8" w:rsidP="00ED613F">
            <w:pPr>
              <w:spacing w:line="276" w:lineRule="auto"/>
              <w:jc w:val="both"/>
              <w:rPr>
                <w:rFonts w:ascii="Times New Roman" w:eastAsia="MS Mincho" w:hAnsi="Times New Roman"/>
                <w:b/>
                <w:sz w:val="20"/>
                <w:szCs w:val="20"/>
              </w:rPr>
            </w:pPr>
          </w:p>
        </w:tc>
      </w:tr>
      <w:tr w:rsidR="00FF491E" w:rsidRPr="00ED613F" w:rsidTr="00ED613F">
        <w:trPr>
          <w:trHeight w:val="425"/>
        </w:trPr>
        <w:tc>
          <w:tcPr>
            <w:tcW w:w="15467" w:type="dxa"/>
            <w:gridSpan w:val="5"/>
          </w:tcPr>
          <w:p w:rsidR="00FF491E" w:rsidRPr="006F6473" w:rsidRDefault="00FF491E" w:rsidP="00ED613F">
            <w:pPr>
              <w:spacing w:before="200" w:after="200" w:line="276" w:lineRule="auto"/>
              <w:jc w:val="center"/>
              <w:rPr>
                <w:rFonts w:ascii="Times New Roman" w:eastAsia="MS Mincho" w:hAnsi="Times New Roman"/>
                <w:b/>
                <w:sz w:val="20"/>
                <w:szCs w:val="20"/>
              </w:rPr>
            </w:pPr>
            <w:r w:rsidRPr="006F6473">
              <w:rPr>
                <w:rFonts w:ascii="Times New Roman" w:eastAsia="MS Mincho" w:hAnsi="Times New Roman"/>
                <w:b/>
                <w:sz w:val="20"/>
                <w:szCs w:val="20"/>
              </w:rPr>
              <w:lastRenderedPageBreak/>
              <w:t>II. UWAGI SZCZEGÓŁOWE</w:t>
            </w:r>
          </w:p>
        </w:tc>
      </w:tr>
      <w:tr w:rsidR="00FF491E" w:rsidRPr="00ED613F" w:rsidTr="00ED613F">
        <w:trPr>
          <w:trHeight w:val="425"/>
        </w:trPr>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5.</w:t>
            </w:r>
          </w:p>
        </w:tc>
        <w:tc>
          <w:tcPr>
            <w:tcW w:w="2127" w:type="dxa"/>
            <w:vMerge w:val="restart"/>
          </w:tcPr>
          <w:p w:rsidR="00FF491E" w:rsidRPr="00ED613F" w:rsidRDefault="00FF491E" w:rsidP="00ED613F">
            <w:pPr>
              <w:spacing w:line="276" w:lineRule="auto"/>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1</w:t>
            </w:r>
          </w:p>
          <w:p w:rsidR="00FF491E" w:rsidRPr="00ED613F" w:rsidRDefault="00FF491E" w:rsidP="00ED613F">
            <w:pPr>
              <w:spacing w:line="276" w:lineRule="auto"/>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4 §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FF491E"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Zgodnie z art. 328</w:t>
            </w:r>
            <w:r w:rsidRPr="00ED613F">
              <w:rPr>
                <w:rFonts w:ascii="Times New Roman" w:eastAsia="MS Mincho" w:hAnsi="Times New Roman"/>
                <w:sz w:val="20"/>
                <w:szCs w:val="20"/>
                <w:vertAlign w:val="superscript"/>
              </w:rPr>
              <w:t>11</w:t>
            </w:r>
            <w:r w:rsidRPr="00ED613F">
              <w:rPr>
                <w:rFonts w:ascii="Times New Roman" w:eastAsia="MS Mincho" w:hAnsi="Times New Roman"/>
                <w:sz w:val="20"/>
                <w:szCs w:val="20"/>
              </w:rPr>
              <w:t xml:space="preserve"> § 1 podstawą dematerializacji akcji spółki niepublicznej będą mogły być nie tylko przepisy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ale także przepisy ustawy o obrocie instrumentami finansowymi (jeżeli uchwała walnego zgromadzenia tak będzie stanowić). W świetle zaproponowanej zaś w art. 1 pkt 1 definicji, za spółkę publiczną należy uznać spółkę, w której co najmniej jedna akcja jest zdematerializowana, o ile podstawą dematerializacji nie są przepisy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Wskazana jest analiza wzajemnej spójności projektowanego art. 328</w:t>
            </w:r>
            <w:r w:rsidRPr="00ED613F">
              <w:rPr>
                <w:rFonts w:ascii="Times New Roman" w:eastAsia="MS Mincho" w:hAnsi="Times New Roman"/>
                <w:sz w:val="20"/>
                <w:szCs w:val="20"/>
                <w:vertAlign w:val="superscript"/>
              </w:rPr>
              <w:t>11</w:t>
            </w:r>
            <w:r w:rsidRPr="00ED613F">
              <w:rPr>
                <w:rFonts w:ascii="Times New Roman" w:eastAsia="MS Mincho" w:hAnsi="Times New Roman"/>
                <w:sz w:val="20"/>
                <w:szCs w:val="20"/>
              </w:rPr>
              <w:t xml:space="preserve"> § 1 oraz projektowanego art. 4 §</w:t>
            </w:r>
            <w:r w:rsidR="00400073">
              <w:rPr>
                <w:rFonts w:ascii="Times New Roman" w:eastAsia="MS Mincho" w:hAnsi="Times New Roman"/>
                <w:sz w:val="20"/>
                <w:szCs w:val="20"/>
              </w:rPr>
              <w:t xml:space="preserve"> </w:t>
            </w:r>
            <w:r w:rsidRPr="00ED613F">
              <w:rPr>
                <w:rFonts w:ascii="Times New Roman" w:eastAsia="MS Mincho" w:hAnsi="Times New Roman"/>
                <w:sz w:val="20"/>
                <w:szCs w:val="20"/>
              </w:rPr>
              <w:t xml:space="preserve">1 pkt 6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w:t>
            </w:r>
          </w:p>
          <w:p w:rsidR="00400073" w:rsidRPr="00ED613F" w:rsidRDefault="00400073"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Celem projektu jest wprowadzenie rozwiązań, które zakładają obligatoryjną dematerializację wszystkich akcji spółki. Zgodnie z art. 5 ust. 3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 xml:space="preserve">. w odniesieniu do papierów wartościowych będących przedmiotem oferty publicznej, które nie będą podlegać dopuszczeniu do obrotu na rynku regulowanym albo wprowadzanych wyłącznie do alternatywnego systemu obrotu, dematerializacja jest fakultatywna (decyzja w tym zakresie należy do emitenta). Nie jest zatem jasne, w jakiej relacji pozostają projektowane przepisy do art. 5 ust. 3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w:t>
            </w:r>
            <w:r w:rsidRPr="00ED613F">
              <w:rPr>
                <w:rFonts w:ascii="Times New Roman" w:eastAsia="MS Mincho" w:hAnsi="Times New Roman"/>
                <w:sz w:val="20"/>
                <w:szCs w:val="20"/>
                <w:lang w:eastAsia="pl-PL"/>
              </w:rPr>
              <w:t xml:space="preserve"> </w:t>
            </w:r>
            <w:r w:rsidRPr="00ED613F">
              <w:rPr>
                <w:rFonts w:ascii="Times New Roman" w:eastAsia="MS Mincho" w:hAnsi="Times New Roman"/>
                <w:sz w:val="20"/>
                <w:szCs w:val="20"/>
              </w:rPr>
              <w:t xml:space="preserve">w szczególności, czy przepis ten stanowi </w:t>
            </w:r>
            <w:r w:rsidRPr="00ED613F">
              <w:rPr>
                <w:rFonts w:ascii="Times New Roman" w:eastAsia="MS Mincho" w:hAnsi="Times New Roman"/>
                <w:i/>
                <w:iCs/>
                <w:sz w:val="20"/>
                <w:szCs w:val="20"/>
              </w:rPr>
              <w:t xml:space="preserve">lex </w:t>
            </w:r>
            <w:proofErr w:type="spellStart"/>
            <w:r w:rsidRPr="00ED613F">
              <w:rPr>
                <w:rFonts w:ascii="Times New Roman" w:eastAsia="MS Mincho" w:hAnsi="Times New Roman"/>
                <w:i/>
                <w:iCs/>
                <w:sz w:val="20"/>
                <w:szCs w:val="20"/>
              </w:rPr>
              <w:t>specialis</w:t>
            </w:r>
            <w:proofErr w:type="spellEnd"/>
            <w:r w:rsidRPr="00ED613F">
              <w:rPr>
                <w:rFonts w:ascii="Times New Roman" w:eastAsia="MS Mincho" w:hAnsi="Times New Roman"/>
                <w:i/>
                <w:iCs/>
                <w:sz w:val="20"/>
                <w:szCs w:val="20"/>
              </w:rPr>
              <w:t xml:space="preserve"> </w:t>
            </w:r>
            <w:r w:rsidRPr="00ED613F">
              <w:rPr>
                <w:rFonts w:ascii="Times New Roman" w:eastAsia="MS Mincho" w:hAnsi="Times New Roman"/>
                <w:sz w:val="20"/>
                <w:szCs w:val="20"/>
              </w:rPr>
              <w:t xml:space="preserve">w stosunku do projektowych przepisów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(co oznaczałoby, że nie wszystkie akcje spółki musiałyby podlegać dematerializacji). </w:t>
            </w:r>
          </w:p>
        </w:tc>
        <w:tc>
          <w:tcPr>
            <w:tcW w:w="5436" w:type="dxa"/>
          </w:tcPr>
          <w:p w:rsidR="00FF491E" w:rsidRPr="006F6473" w:rsidRDefault="00400073" w:rsidP="00591555">
            <w:pPr>
              <w:jc w:val="both"/>
              <w:rPr>
                <w:rFonts w:ascii="Times New Roman" w:eastAsia="MS Mincho" w:hAnsi="Times New Roman"/>
                <w:sz w:val="20"/>
                <w:szCs w:val="20"/>
              </w:rPr>
            </w:pPr>
            <w:r w:rsidRPr="006F6473">
              <w:rPr>
                <w:rFonts w:ascii="Times New Roman" w:eastAsia="MS Mincho" w:hAnsi="Times New Roman"/>
                <w:sz w:val="20"/>
                <w:szCs w:val="20"/>
              </w:rPr>
              <w:t xml:space="preserve">Uwaga została uwzględniona: </w:t>
            </w:r>
            <w:r w:rsidR="002F6F16" w:rsidRPr="006F6473">
              <w:rPr>
                <w:rFonts w:ascii="Times New Roman" w:eastAsia="MS Mincho" w:hAnsi="Times New Roman"/>
                <w:sz w:val="20"/>
                <w:szCs w:val="20"/>
              </w:rPr>
              <w:t xml:space="preserve">art. 4  § 1 pkt 6 </w:t>
            </w:r>
            <w:proofErr w:type="spellStart"/>
            <w:r w:rsidR="002F6F16" w:rsidRPr="006F6473">
              <w:rPr>
                <w:rFonts w:ascii="Times New Roman" w:eastAsia="MS Mincho" w:hAnsi="Times New Roman"/>
                <w:sz w:val="20"/>
                <w:szCs w:val="20"/>
              </w:rPr>
              <w:t>k.s.h</w:t>
            </w:r>
            <w:proofErr w:type="spellEnd"/>
            <w:r w:rsidR="002F6F16" w:rsidRPr="006F6473">
              <w:rPr>
                <w:rFonts w:ascii="Times New Roman" w:eastAsia="MS Mincho" w:hAnsi="Times New Roman"/>
                <w:sz w:val="20"/>
                <w:szCs w:val="20"/>
              </w:rPr>
              <w:t>. nie będzie zmieniany (w dalszym ciągu będzie w całej rozciągłości odsyłał do definicji spółki publicznej w rozumieniu</w:t>
            </w:r>
            <w:r w:rsidR="008C32CA" w:rsidRPr="006F6473">
              <w:rPr>
                <w:rFonts w:ascii="Times New Roman" w:eastAsia="MS Mincho" w:hAnsi="Times New Roman"/>
                <w:sz w:val="20"/>
                <w:szCs w:val="20"/>
              </w:rPr>
              <w:t xml:space="preserve"> ustawy</w:t>
            </w:r>
            <w:r w:rsidR="002F6F16" w:rsidRPr="006F6473">
              <w:rPr>
                <w:rFonts w:ascii="Times New Roman" w:eastAsia="MS Mincho" w:hAnsi="Times New Roman"/>
                <w:sz w:val="20"/>
                <w:szCs w:val="20"/>
              </w:rPr>
              <w:t xml:space="preserve"> o ofercie). </w:t>
            </w:r>
            <w:r w:rsidR="008C32CA" w:rsidRPr="006F6473">
              <w:rPr>
                <w:rFonts w:ascii="Times New Roman" w:eastAsia="MS Mincho" w:hAnsi="Times New Roman"/>
                <w:sz w:val="20"/>
                <w:szCs w:val="20"/>
              </w:rPr>
              <w:t xml:space="preserve">Jednocześnie zmieniony zostanie art. 4 pkt 20 </w:t>
            </w:r>
            <w:r w:rsidR="00591555" w:rsidRPr="006F6473">
              <w:rPr>
                <w:rFonts w:ascii="Times New Roman" w:eastAsia="MS Mincho" w:hAnsi="Times New Roman"/>
                <w:sz w:val="20"/>
                <w:szCs w:val="20"/>
              </w:rPr>
              <w:t>ustawy</w:t>
            </w:r>
            <w:r w:rsidR="008C32CA" w:rsidRPr="006F6473">
              <w:rPr>
                <w:rFonts w:ascii="Times New Roman" w:eastAsia="MS Mincho" w:hAnsi="Times New Roman"/>
                <w:sz w:val="20"/>
                <w:szCs w:val="20"/>
              </w:rPr>
              <w:t xml:space="preserve"> o </w:t>
            </w:r>
            <w:r w:rsidR="00591555" w:rsidRPr="006F6473">
              <w:rPr>
                <w:rFonts w:ascii="Times New Roman" w:eastAsia="MS Mincho" w:hAnsi="Times New Roman"/>
                <w:sz w:val="20"/>
                <w:szCs w:val="20"/>
              </w:rPr>
              <w:t>o</w:t>
            </w:r>
            <w:r w:rsidR="008C32CA" w:rsidRPr="006F6473">
              <w:rPr>
                <w:rFonts w:ascii="Times New Roman" w:eastAsia="MS Mincho" w:hAnsi="Times New Roman"/>
                <w:sz w:val="20"/>
                <w:szCs w:val="20"/>
              </w:rPr>
              <w:t>fercie</w:t>
            </w:r>
            <w:r w:rsidR="00591555" w:rsidRPr="006F6473">
              <w:rPr>
                <w:rFonts w:ascii="Times New Roman" w:eastAsia="MS Mincho" w:hAnsi="Times New Roman"/>
                <w:sz w:val="20"/>
                <w:szCs w:val="20"/>
              </w:rPr>
              <w:t>, zgodnie z propozycją przedstawioną przez KNF (vide uwaga z pkt 7 tabeli</w:t>
            </w:r>
            <w:r w:rsidR="008C32CA" w:rsidRPr="006F6473">
              <w:rPr>
                <w:rFonts w:ascii="Times New Roman" w:eastAsia="MS Mincho" w:hAnsi="Times New Roman"/>
                <w:sz w:val="20"/>
                <w:szCs w:val="20"/>
              </w:rPr>
              <w:t xml:space="preserve"> </w:t>
            </w:r>
            <w:r w:rsidR="00591555" w:rsidRPr="006F6473">
              <w:rPr>
                <w:rFonts w:ascii="Times New Roman" w:eastAsia="MS Mincho" w:hAnsi="Times New Roman"/>
                <w:sz w:val="20"/>
                <w:szCs w:val="20"/>
              </w:rPr>
              <w:t>z konsultacji).</w:t>
            </w:r>
          </w:p>
          <w:p w:rsidR="00FF491E" w:rsidRPr="006F6473" w:rsidRDefault="00FF491E" w:rsidP="00ED613F">
            <w:pPr>
              <w:rPr>
                <w:rFonts w:ascii="Times New Roman" w:eastAsia="MS Mincho" w:hAnsi="Times New Roman"/>
                <w:b/>
                <w:sz w:val="20"/>
                <w:szCs w:val="20"/>
              </w:rPr>
            </w:pPr>
          </w:p>
          <w:p w:rsidR="00FF491E" w:rsidRPr="006F6473" w:rsidRDefault="00FF491E" w:rsidP="00ED613F">
            <w:pPr>
              <w:rPr>
                <w:rFonts w:ascii="Times New Roman" w:eastAsia="MS Mincho" w:hAnsi="Times New Roman"/>
                <w:sz w:val="20"/>
                <w:szCs w:val="20"/>
              </w:rPr>
            </w:pPr>
          </w:p>
          <w:p w:rsidR="00FF491E" w:rsidRPr="006F6473" w:rsidRDefault="00FF491E" w:rsidP="00ED613F">
            <w:pPr>
              <w:rPr>
                <w:rFonts w:ascii="Times New Roman" w:eastAsia="MS Mincho" w:hAnsi="Times New Roman"/>
                <w:sz w:val="20"/>
                <w:szCs w:val="20"/>
              </w:rPr>
            </w:pPr>
          </w:p>
          <w:p w:rsidR="00FF491E" w:rsidRPr="006F6473" w:rsidRDefault="00FF491E" w:rsidP="00ED613F">
            <w:pPr>
              <w:rPr>
                <w:rFonts w:ascii="Times New Roman" w:eastAsia="MS Mincho" w:hAnsi="Times New Roman"/>
                <w:sz w:val="20"/>
                <w:szCs w:val="20"/>
              </w:rPr>
            </w:pPr>
          </w:p>
          <w:p w:rsidR="009B3419" w:rsidRPr="006F6473" w:rsidRDefault="00247B31" w:rsidP="009B3419">
            <w:pPr>
              <w:jc w:val="both"/>
              <w:rPr>
                <w:rFonts w:ascii="Times New Roman" w:eastAsia="MS Mincho" w:hAnsi="Times New Roman"/>
                <w:i/>
                <w:sz w:val="20"/>
                <w:szCs w:val="20"/>
              </w:rPr>
            </w:pPr>
            <w:r w:rsidRPr="006F6473">
              <w:rPr>
                <w:rFonts w:ascii="Times New Roman" w:eastAsia="MS Mincho" w:hAnsi="Times New Roman"/>
                <w:sz w:val="20"/>
                <w:szCs w:val="20"/>
              </w:rPr>
              <w:t>Vide ustalenia odnośnie do ostatniej uwagi w pkt 4 tabeli: p</w:t>
            </w:r>
            <w:r w:rsidR="008C66D0" w:rsidRPr="006F6473">
              <w:rPr>
                <w:rFonts w:ascii="Times New Roman" w:eastAsia="MS Mincho" w:hAnsi="Times New Roman"/>
                <w:sz w:val="20"/>
                <w:szCs w:val="20"/>
              </w:rPr>
              <w:t>rojekt zostanie uzupełniony o niezbędne zmiany w ustawie o obrocie instrumentami finansowymi, które obejmą m.in. art. 5 i 5a tej ustawy, na podstawie propozycji, które przedstawi KNF.</w:t>
            </w:r>
          </w:p>
          <w:p w:rsidR="00FF491E" w:rsidRPr="006F6473" w:rsidRDefault="00FF491E" w:rsidP="00ED613F">
            <w:pPr>
              <w:jc w:val="both"/>
              <w:rPr>
                <w:rFonts w:ascii="Times New Roman" w:eastAsia="MS Mincho" w:hAnsi="Times New Roman"/>
                <w:i/>
                <w:sz w:val="20"/>
                <w:szCs w:val="20"/>
              </w:rPr>
            </w:pPr>
          </w:p>
        </w:tc>
      </w:tr>
      <w:tr w:rsidR="00FF491E" w:rsidRPr="00ED613F" w:rsidTr="00ED613F">
        <w:trPr>
          <w:trHeight w:val="425"/>
        </w:trPr>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6.</w:t>
            </w:r>
          </w:p>
        </w:tc>
        <w:tc>
          <w:tcPr>
            <w:tcW w:w="2127" w:type="dxa"/>
            <w:vMerge/>
          </w:tcPr>
          <w:p w:rsidR="00FF491E" w:rsidRPr="00ED613F" w:rsidRDefault="00FF491E" w:rsidP="00ED613F">
            <w:pPr>
              <w:spacing w:line="276" w:lineRule="auto"/>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Definicja „spółki publicznej” przez dodanie do obecnie obowiązującej definicji wyrażenia, że jest to spółka „z wyłączeniem spółki, w której podstawą dematerializacji akcji są przepisy kodeksu”, staje się nieczytelna. Definicja spółki publicznej zawarta w ustawie o ofercie publicznej i warunkach wprowadzania instrumentów finansowych do zorganizowanego systemu obrotu oraz o spółkach publicznych stanowi, że jest to spółka, w której co najmniej jedna akcja jest zdematerializowana w rozumieniu przepisów ustawy o obrocie instrumentami finansowymi Z kolei ustawa o obrocie instrumentami finansowymi stanowi, że dematerializacja dotyczy wymienionych w art. 5 ust. 1 tej ustawy papierów wartościowych i polega na tym, że nie mają one formy dokumentu od chwili ich zarejestrowania na podstawie umowy, której przedmiotem jest rejestracja tych papierów wartościowych w depozycie papierów wartościowych. Należy podkreślić, że zgodnie z proponowanym przepisem art. 328 § 1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akcje nie mogą mieć formy dokumentu (akcje zdematerializowane). Tym samym, wraz z wejściem w życie projektowanej zmiany, podstawą dematerializacji wszystkich spółek akcyjnych będą przepisy Kodeksu spółek handlowych, na co wskazano także w uzasadnieniu projektu (str. 3 drugi akapit). W konsekwencji straci rację bytu podział na spółki publiczne i niepubliczne, tym bardziej, że dopuszcza się rejestrowanie przez spółki niepubliczne akcji w depozycie papierów wartościowych (projektowany art. 328</w:t>
            </w:r>
            <w:r w:rsidRPr="00ED613F">
              <w:rPr>
                <w:rFonts w:ascii="Times New Roman" w:eastAsia="MS Mincho" w:hAnsi="Times New Roman"/>
                <w:sz w:val="20"/>
                <w:szCs w:val="20"/>
                <w:vertAlign w:val="superscript"/>
              </w:rPr>
              <w:t xml:space="preserve">11 </w:t>
            </w:r>
            <w:r w:rsidRPr="00ED613F">
              <w:rPr>
                <w:rFonts w:ascii="Times New Roman" w:eastAsia="MS Mincho" w:hAnsi="Times New Roman"/>
                <w:sz w:val="20"/>
                <w:szCs w:val="20"/>
              </w:rPr>
              <w:t xml:space="preserve">§ 1), jak również przewiduje się inne przepisy zrównujące spółkę niepubliczną z publiczną (por. projektowany art. 328 </w:t>
            </w:r>
            <w:r w:rsidRPr="00ED613F">
              <w:rPr>
                <w:rFonts w:ascii="Times New Roman" w:eastAsia="MS Mincho" w:hAnsi="Times New Roman"/>
                <w:sz w:val="20"/>
                <w:szCs w:val="20"/>
                <w:vertAlign w:val="superscript"/>
              </w:rPr>
              <w:t>14</w:t>
            </w:r>
            <w:r w:rsidRPr="00ED613F">
              <w:rPr>
                <w:rFonts w:ascii="Times New Roman" w:eastAsia="MS Mincho" w:hAnsi="Times New Roman"/>
                <w:sz w:val="20"/>
                <w:szCs w:val="20"/>
              </w:rPr>
              <w:t>, art. 2 pkt 1 projektu). Faktyczne rozróżnienie statusu tych spółek będzie zatem znacznie utrudnione. Niezrozumiały jest także brak konsekwencji w powoływaniu się w projektowanych przepisach łącznie na spółki publiczne i spółki niepubliczne (por. projektowany art. 328</w:t>
            </w:r>
            <w:r w:rsidRPr="00ED613F">
              <w:rPr>
                <w:rFonts w:ascii="Times New Roman" w:eastAsia="MS Mincho" w:hAnsi="Times New Roman"/>
                <w:sz w:val="20"/>
                <w:szCs w:val="20"/>
                <w:vertAlign w:val="superscript"/>
              </w:rPr>
              <w:t>13</w:t>
            </w:r>
            <w:r w:rsidRPr="00ED613F">
              <w:rPr>
                <w:rFonts w:ascii="Times New Roman" w:eastAsia="MS Mincho" w:hAnsi="Times New Roman"/>
                <w:sz w:val="20"/>
                <w:szCs w:val="20"/>
              </w:rPr>
              <w:t xml:space="preserve">) bądź tylko akcjonariuszy, bez wskazywania rodzaju spółki, mimo, iż przepis odnosić się będzie zarówno do spółki publicznej, jak i niepublicznej (art. 2 pkt 1 projektu). Brak jednolitości w używanej terminologii powoduje, że projekt staje się nieczytelny. Pozostawienie niektórych regulacji dedykowanych jedynie spółce publicznej, z uwagi na możliwość korzystania z depozytu papierów wartościowych także przez spółki niepubliczne, traci na znaczeniu (art. 1 pkt 23 i 24 projektu).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 konsekwencji sugeruje się rozszerzenie projektu także o zmianę </w:t>
            </w:r>
            <w:r w:rsidR="00733CBB">
              <w:rPr>
                <w:rFonts w:ascii="Times New Roman" w:eastAsia="MS Mincho" w:hAnsi="Times New Roman"/>
                <w:sz w:val="20"/>
                <w:szCs w:val="20"/>
              </w:rPr>
              <w:t xml:space="preserve">ustawy </w:t>
            </w:r>
            <w:r w:rsidRPr="00ED613F">
              <w:rPr>
                <w:rFonts w:ascii="Times New Roman" w:eastAsia="MS Mincho" w:hAnsi="Times New Roman"/>
                <w:sz w:val="20"/>
                <w:szCs w:val="20"/>
              </w:rPr>
              <w:t>o ofercie publicznej i warunkach wprowadzania instrumentów finansowych do zorganizowanego systemu obrotu oraz o spółkach publicznych oraz ustawy o obrocie instrumentami finansowymi oraz przeniesienie do Kodeksu spółek handlowych wszelkich norm ustrojowych dotyczących spółki publicznej.</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Proponowane zmiany gwarantowałyby uniknięcie wspomnianych </w:t>
            </w:r>
            <w:r w:rsidRPr="00ED613F">
              <w:rPr>
                <w:rFonts w:ascii="Times New Roman" w:eastAsia="MS Mincho" w:hAnsi="Times New Roman"/>
                <w:sz w:val="20"/>
                <w:szCs w:val="20"/>
              </w:rPr>
              <w:lastRenderedPageBreak/>
              <w:t>rozbieżności, które są także sygnalizowane m.in. na str. 10 uzasadnienia projektu. Jak zauważa wnioskodawca „</w:t>
            </w:r>
            <w:r w:rsidRPr="00ED613F">
              <w:rPr>
                <w:rFonts w:ascii="Times New Roman" w:eastAsia="MS Mincho" w:hAnsi="Times New Roman"/>
                <w:i/>
                <w:sz w:val="20"/>
                <w:szCs w:val="20"/>
              </w:rPr>
              <w:t xml:space="preserve">podjęcie prac nad nową definicją spółki publicznej powinno nastąpić i zakończyć się uchwaleniem zmian w okresie vacatio legis proponowanej nowelizacji </w:t>
            </w:r>
            <w:proofErr w:type="spellStart"/>
            <w:r w:rsidRPr="00ED613F">
              <w:rPr>
                <w:rFonts w:ascii="Times New Roman" w:eastAsia="MS Mincho" w:hAnsi="Times New Roman"/>
                <w:i/>
                <w:sz w:val="20"/>
                <w:szCs w:val="20"/>
              </w:rPr>
              <w:t>k.s.h</w:t>
            </w:r>
            <w:proofErr w:type="spellEnd"/>
            <w:r w:rsidRPr="00ED613F">
              <w:rPr>
                <w:rFonts w:ascii="Times New Roman" w:eastAsia="MS Mincho" w:hAnsi="Times New Roman"/>
                <w:sz w:val="20"/>
                <w:szCs w:val="20"/>
              </w:rPr>
              <w:t>.” Prowadzenie jednak w rożnym czasie dwóch odrębnych projektów ściśle powiązanych ze sobą tematycznie zawsze może wiązać się z ryzykiem wejścia w życie tych zmian w różnym terminie, co należy ocenić jako działanie niepożądane.</w:t>
            </w:r>
          </w:p>
        </w:tc>
        <w:tc>
          <w:tcPr>
            <w:tcW w:w="5436" w:type="dxa"/>
          </w:tcPr>
          <w:p w:rsidR="00FF491E" w:rsidRPr="006F6473" w:rsidRDefault="00220567" w:rsidP="00775C69">
            <w:pPr>
              <w:jc w:val="both"/>
              <w:rPr>
                <w:rFonts w:ascii="Times New Roman" w:eastAsia="MS Mincho" w:hAnsi="Times New Roman"/>
                <w:sz w:val="20"/>
                <w:szCs w:val="20"/>
              </w:rPr>
            </w:pPr>
            <w:r w:rsidRPr="006F6473">
              <w:rPr>
                <w:rFonts w:ascii="Times New Roman" w:eastAsia="MS Mincho" w:hAnsi="Times New Roman"/>
                <w:sz w:val="20"/>
                <w:szCs w:val="20"/>
              </w:rPr>
              <w:lastRenderedPageBreak/>
              <w:t>Uwaga została</w:t>
            </w:r>
            <w:r w:rsidR="00D81790" w:rsidRPr="006F6473">
              <w:rPr>
                <w:rFonts w:ascii="Times New Roman" w:eastAsia="MS Mincho" w:hAnsi="Times New Roman"/>
                <w:sz w:val="20"/>
                <w:szCs w:val="20"/>
              </w:rPr>
              <w:t xml:space="preserve"> </w:t>
            </w:r>
            <w:r w:rsidRPr="006F6473">
              <w:rPr>
                <w:rFonts w:ascii="Times New Roman" w:eastAsia="MS Mincho" w:hAnsi="Times New Roman"/>
                <w:sz w:val="20"/>
                <w:szCs w:val="20"/>
              </w:rPr>
              <w:t>uwzględniona</w:t>
            </w:r>
            <w:r w:rsidR="00D81790" w:rsidRPr="006F6473">
              <w:rPr>
                <w:rFonts w:ascii="Times New Roman" w:eastAsia="MS Mincho" w:hAnsi="Times New Roman"/>
                <w:sz w:val="20"/>
                <w:szCs w:val="20"/>
              </w:rPr>
              <w:t xml:space="preserve">: vide ustalenia odnośnie do </w:t>
            </w:r>
            <w:r w:rsidR="00D81790" w:rsidRPr="006F6473">
              <w:rPr>
                <w:rFonts w:ascii="Times New Roman" w:hAnsi="Times New Roman"/>
                <w:sz w:val="20"/>
                <w:szCs w:val="20"/>
              </w:rPr>
              <w:t xml:space="preserve"> </w:t>
            </w:r>
            <w:r w:rsidR="00775C69" w:rsidRPr="006F6473">
              <w:rPr>
                <w:rFonts w:ascii="Times New Roman" w:hAnsi="Times New Roman"/>
                <w:sz w:val="20"/>
                <w:szCs w:val="20"/>
              </w:rPr>
              <w:t xml:space="preserve">pierwszej </w:t>
            </w:r>
            <w:r w:rsidR="00D81790" w:rsidRPr="006F6473">
              <w:rPr>
                <w:rFonts w:ascii="Times New Roman" w:hAnsi="Times New Roman"/>
                <w:sz w:val="20"/>
                <w:szCs w:val="20"/>
              </w:rPr>
              <w:t xml:space="preserve">uwagi </w:t>
            </w:r>
            <w:r w:rsidR="00775C69" w:rsidRPr="006F6473">
              <w:rPr>
                <w:rFonts w:ascii="Times New Roman" w:hAnsi="Times New Roman"/>
                <w:sz w:val="20"/>
                <w:szCs w:val="20"/>
              </w:rPr>
              <w:t>w pkt 5 tabeli</w:t>
            </w:r>
            <w:r w:rsidR="00BB0145" w:rsidRPr="006F6473">
              <w:rPr>
                <w:rFonts w:ascii="Times New Roman" w:hAnsi="Times New Roman"/>
                <w:sz w:val="20"/>
                <w:szCs w:val="20"/>
              </w:rPr>
              <w:t xml:space="preserve"> </w:t>
            </w:r>
            <w:r w:rsidR="000849D6" w:rsidRPr="006F6473">
              <w:rPr>
                <w:rFonts w:ascii="Times New Roman" w:hAnsi="Times New Roman"/>
                <w:sz w:val="20"/>
                <w:szCs w:val="20"/>
              </w:rPr>
              <w:t xml:space="preserve">– </w:t>
            </w:r>
            <w:r w:rsidR="00D81790" w:rsidRPr="006F6473">
              <w:rPr>
                <w:rFonts w:ascii="Times New Roman" w:eastAsia="MS Mincho" w:hAnsi="Times New Roman"/>
                <w:sz w:val="20"/>
                <w:szCs w:val="20"/>
              </w:rPr>
              <w:t xml:space="preserve">art. 4  § 1 pkt 6 </w:t>
            </w:r>
            <w:proofErr w:type="spellStart"/>
            <w:r w:rsidR="00D81790" w:rsidRPr="006F6473">
              <w:rPr>
                <w:rFonts w:ascii="Times New Roman" w:eastAsia="MS Mincho" w:hAnsi="Times New Roman"/>
                <w:sz w:val="20"/>
                <w:szCs w:val="20"/>
              </w:rPr>
              <w:t>k.s.h</w:t>
            </w:r>
            <w:proofErr w:type="spellEnd"/>
            <w:r w:rsidR="00D81790" w:rsidRPr="006F6473">
              <w:rPr>
                <w:rFonts w:ascii="Times New Roman" w:eastAsia="MS Mincho" w:hAnsi="Times New Roman"/>
                <w:sz w:val="20"/>
                <w:szCs w:val="20"/>
              </w:rPr>
              <w:t>. nie będzie zmieniany (w dalszym ciągu będzie w całej rozciągłości odsyłał do definicji spółki publicznej w rozumieniu</w:t>
            </w:r>
            <w:r w:rsidR="000849D6" w:rsidRPr="006F6473">
              <w:rPr>
                <w:rFonts w:ascii="Times New Roman" w:eastAsia="MS Mincho" w:hAnsi="Times New Roman"/>
                <w:sz w:val="20"/>
                <w:szCs w:val="20"/>
              </w:rPr>
              <w:t xml:space="preserve"> ustawy o ofercie), </w:t>
            </w:r>
            <w:r w:rsidR="00733CBB" w:rsidRPr="006F6473">
              <w:rPr>
                <w:rFonts w:ascii="Times New Roman" w:eastAsia="MS Mincho" w:hAnsi="Times New Roman"/>
                <w:sz w:val="20"/>
                <w:szCs w:val="20"/>
              </w:rPr>
              <w:t>natomiast</w:t>
            </w:r>
            <w:r w:rsidR="00D81790" w:rsidRPr="006F6473">
              <w:rPr>
                <w:rFonts w:ascii="Times New Roman" w:eastAsia="MS Mincho" w:hAnsi="Times New Roman"/>
                <w:sz w:val="20"/>
                <w:szCs w:val="20"/>
              </w:rPr>
              <w:t xml:space="preserve"> zmieniony zostanie art. 4 pkt 20 ustawy o ofercie, zgodnie z pro</w:t>
            </w:r>
            <w:r w:rsidR="000849D6" w:rsidRPr="006F6473">
              <w:rPr>
                <w:rFonts w:ascii="Times New Roman" w:eastAsia="MS Mincho" w:hAnsi="Times New Roman"/>
                <w:sz w:val="20"/>
                <w:szCs w:val="20"/>
              </w:rPr>
              <w:t>pozycją przedstawioną przez KNF.</w:t>
            </w:r>
          </w:p>
          <w:p w:rsidR="00D81790" w:rsidRPr="006F6473" w:rsidRDefault="00733CBB" w:rsidP="00687779">
            <w:pPr>
              <w:jc w:val="both"/>
              <w:rPr>
                <w:rFonts w:ascii="Times New Roman" w:eastAsia="MS Mincho" w:hAnsi="Times New Roman"/>
                <w:sz w:val="20"/>
                <w:szCs w:val="20"/>
              </w:rPr>
            </w:pPr>
            <w:r w:rsidRPr="006F6473">
              <w:rPr>
                <w:rFonts w:ascii="Times New Roman" w:eastAsia="MS Mincho" w:hAnsi="Times New Roman"/>
                <w:sz w:val="20"/>
                <w:szCs w:val="20"/>
              </w:rPr>
              <w:t xml:space="preserve">Projekt zostanie </w:t>
            </w:r>
            <w:r w:rsidR="00687779" w:rsidRPr="006F6473">
              <w:rPr>
                <w:rFonts w:ascii="Times New Roman" w:eastAsia="MS Mincho" w:hAnsi="Times New Roman"/>
                <w:sz w:val="20"/>
                <w:szCs w:val="20"/>
              </w:rPr>
              <w:t>uzupełniony również o inne niezbędne</w:t>
            </w:r>
            <w:r w:rsidRPr="006F6473">
              <w:rPr>
                <w:rFonts w:ascii="Times New Roman" w:eastAsia="MS Mincho" w:hAnsi="Times New Roman"/>
                <w:sz w:val="20"/>
                <w:szCs w:val="20"/>
              </w:rPr>
              <w:t xml:space="preserve"> zmiany</w:t>
            </w:r>
            <w:r w:rsidR="00687779" w:rsidRPr="006F6473">
              <w:rPr>
                <w:rFonts w:ascii="Times New Roman" w:eastAsia="MS Mincho" w:hAnsi="Times New Roman"/>
                <w:sz w:val="20"/>
                <w:szCs w:val="20"/>
              </w:rPr>
              <w:t xml:space="preserve"> w </w:t>
            </w:r>
            <w:r w:rsidRPr="006F6473">
              <w:rPr>
                <w:rFonts w:ascii="Times New Roman" w:eastAsia="MS Mincho" w:hAnsi="Times New Roman"/>
                <w:sz w:val="20"/>
                <w:szCs w:val="20"/>
              </w:rPr>
              <w:t xml:space="preserve"> ustaw</w:t>
            </w:r>
            <w:r w:rsidR="00687779" w:rsidRPr="006F6473">
              <w:rPr>
                <w:rFonts w:ascii="Times New Roman" w:eastAsia="MS Mincho" w:hAnsi="Times New Roman"/>
                <w:sz w:val="20"/>
                <w:szCs w:val="20"/>
              </w:rPr>
              <w:t>ie o</w:t>
            </w:r>
            <w:r w:rsidRPr="006F6473">
              <w:rPr>
                <w:rFonts w:ascii="Times New Roman" w:eastAsia="MS Mincho" w:hAnsi="Times New Roman"/>
                <w:sz w:val="20"/>
                <w:szCs w:val="20"/>
              </w:rPr>
              <w:t xml:space="preserve"> ofercie publicznej i warunkach wprowadzania instrumentów finansowych do zorganizowanego systemu obrotu oraz o spółkach publicznych</w:t>
            </w:r>
            <w:r w:rsidR="0090676F" w:rsidRPr="006F6473">
              <w:rPr>
                <w:rFonts w:ascii="Times New Roman" w:eastAsia="MS Mincho" w:hAnsi="Times New Roman"/>
                <w:sz w:val="20"/>
                <w:szCs w:val="20"/>
              </w:rPr>
              <w:t>,</w:t>
            </w:r>
            <w:r w:rsidRPr="006F6473">
              <w:rPr>
                <w:rFonts w:ascii="Times New Roman" w:eastAsia="MS Mincho" w:hAnsi="Times New Roman"/>
                <w:sz w:val="20"/>
                <w:szCs w:val="20"/>
              </w:rPr>
              <w:t xml:space="preserve"> </w:t>
            </w:r>
            <w:r w:rsidR="0072234E" w:rsidRPr="006F6473">
              <w:rPr>
                <w:rFonts w:ascii="Times New Roman" w:eastAsia="MS Mincho" w:hAnsi="Times New Roman"/>
                <w:sz w:val="20"/>
                <w:szCs w:val="20"/>
              </w:rPr>
              <w:t xml:space="preserve">a także w ustawie </w:t>
            </w:r>
            <w:r w:rsidRPr="006F6473">
              <w:rPr>
                <w:rFonts w:ascii="Times New Roman" w:eastAsia="MS Mincho" w:hAnsi="Times New Roman"/>
                <w:sz w:val="20"/>
                <w:szCs w:val="20"/>
              </w:rPr>
              <w:t>o obrocie instrumentami finansowymi</w:t>
            </w:r>
            <w:r w:rsidR="00BE1041" w:rsidRPr="006F6473">
              <w:rPr>
                <w:rFonts w:ascii="Times New Roman" w:eastAsia="MS Mincho" w:hAnsi="Times New Roman"/>
                <w:sz w:val="20"/>
                <w:szCs w:val="20"/>
              </w:rPr>
              <w:t>, na podstawie propozycji przedstawionych</w:t>
            </w:r>
            <w:r w:rsidR="00BD778F" w:rsidRPr="006F6473">
              <w:rPr>
                <w:rFonts w:ascii="Times New Roman" w:eastAsia="MS Mincho" w:hAnsi="Times New Roman"/>
                <w:sz w:val="20"/>
                <w:szCs w:val="20"/>
              </w:rPr>
              <w:t xml:space="preserve"> przez KNF</w:t>
            </w:r>
            <w:r w:rsidR="00BE1041" w:rsidRPr="006F6473">
              <w:rPr>
                <w:rFonts w:ascii="Times New Roman" w:eastAsia="MS Mincho" w:hAnsi="Times New Roman"/>
                <w:sz w:val="20"/>
                <w:szCs w:val="20"/>
              </w:rPr>
              <w:t>.</w:t>
            </w:r>
          </w:p>
          <w:p w:rsidR="00442B41" w:rsidRPr="006F6473" w:rsidRDefault="00BD778F" w:rsidP="00442B41">
            <w:pPr>
              <w:jc w:val="both"/>
              <w:rPr>
                <w:rFonts w:ascii="Times New Roman" w:eastAsia="MS Mincho" w:hAnsi="Times New Roman"/>
                <w:sz w:val="20"/>
                <w:szCs w:val="20"/>
              </w:rPr>
            </w:pPr>
            <w:r w:rsidRPr="006F6473">
              <w:rPr>
                <w:rFonts w:ascii="Times New Roman" w:eastAsia="MS Mincho" w:hAnsi="Times New Roman"/>
                <w:sz w:val="20"/>
                <w:szCs w:val="20"/>
              </w:rPr>
              <w:t xml:space="preserve">Uzasadnienie do projektu, w zakresie w jakim odnosi się </w:t>
            </w:r>
            <w:r w:rsidR="002B2B78" w:rsidRPr="006F6473">
              <w:rPr>
                <w:rFonts w:ascii="Times New Roman" w:eastAsia="MS Mincho" w:hAnsi="Times New Roman"/>
                <w:sz w:val="20"/>
                <w:szCs w:val="20"/>
              </w:rPr>
              <w:t xml:space="preserve">do przyszłych </w:t>
            </w:r>
            <w:r w:rsidR="0090676F" w:rsidRPr="006F6473">
              <w:rPr>
                <w:rFonts w:ascii="Times New Roman" w:eastAsia="MS Mincho" w:hAnsi="Times New Roman"/>
                <w:sz w:val="20"/>
                <w:szCs w:val="20"/>
              </w:rPr>
              <w:t>prac nad nową</w:t>
            </w:r>
            <w:r w:rsidR="002B2B78" w:rsidRPr="006F6473">
              <w:rPr>
                <w:rFonts w:ascii="Times New Roman" w:eastAsia="MS Mincho" w:hAnsi="Times New Roman"/>
                <w:sz w:val="20"/>
                <w:szCs w:val="20"/>
              </w:rPr>
              <w:t xml:space="preserve"> definicją spółki publiczne</w:t>
            </w:r>
            <w:r w:rsidR="0090676F" w:rsidRPr="006F6473">
              <w:rPr>
                <w:rFonts w:ascii="Times New Roman" w:eastAsia="MS Mincho" w:hAnsi="Times New Roman"/>
                <w:sz w:val="20"/>
                <w:szCs w:val="20"/>
              </w:rPr>
              <w:t>j</w:t>
            </w:r>
            <w:r w:rsidR="002B2B78" w:rsidRPr="006F6473">
              <w:rPr>
                <w:rFonts w:ascii="Times New Roman" w:eastAsia="MS Mincho" w:hAnsi="Times New Roman"/>
                <w:sz w:val="20"/>
                <w:szCs w:val="20"/>
              </w:rPr>
              <w:t xml:space="preserve"> w ustawie o ofercie</w:t>
            </w:r>
            <w:r w:rsidR="0090676F" w:rsidRPr="006F6473">
              <w:rPr>
                <w:rFonts w:ascii="Times New Roman" w:eastAsia="MS Mincho" w:hAnsi="Times New Roman"/>
                <w:sz w:val="20"/>
                <w:szCs w:val="20"/>
              </w:rPr>
              <w:t>,</w:t>
            </w:r>
            <w:r w:rsidR="002B2B78" w:rsidRPr="006F6473">
              <w:rPr>
                <w:rFonts w:ascii="Times New Roman" w:eastAsia="MS Mincho" w:hAnsi="Times New Roman"/>
                <w:sz w:val="20"/>
                <w:szCs w:val="20"/>
              </w:rPr>
              <w:t xml:space="preserve"> zostanie odpowiednio skorygowane.</w:t>
            </w: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7.</w:t>
            </w:r>
          </w:p>
        </w:tc>
        <w:tc>
          <w:tcPr>
            <w:tcW w:w="2127" w:type="dxa"/>
            <w:vMerge w:val="restart"/>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2</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5 § 5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line="276" w:lineRule="auto"/>
              <w:jc w:val="center"/>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 xml:space="preserve">W odniesieniu do proponowanego przepisu art. 5 § 5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należy zauważyć, że przepis ten, zgodnie z art. 6 projektu, ma wejść w życie z dniem 1 lipca 2018 r., co nie koresponduje z treścią art. 4 projektu, który ma wejść w życie z dniem następującym po dniu ogłoszenia i nakazującym udostępnić informację o wezwaniu akcjonariuszy do złożenia dokumentów akcji na stronie internetowej spółki, której obowiązek posiadania projekt wprowadza dopiero z dniem 1 lipca 2018 r. Przepisy te powinny być ze sobą skorelowane.</w:t>
            </w:r>
          </w:p>
        </w:tc>
        <w:tc>
          <w:tcPr>
            <w:tcW w:w="5436" w:type="dxa"/>
          </w:tcPr>
          <w:p w:rsidR="00DF5653" w:rsidRPr="006F6473" w:rsidRDefault="001209B0" w:rsidP="00DF5653">
            <w:pPr>
              <w:jc w:val="both"/>
              <w:rPr>
                <w:rFonts w:ascii="Times New Roman" w:eastAsia="MS Mincho" w:hAnsi="Times New Roman"/>
                <w:sz w:val="20"/>
                <w:szCs w:val="20"/>
              </w:rPr>
            </w:pPr>
            <w:r w:rsidRPr="006F6473">
              <w:rPr>
                <w:rFonts w:ascii="Times New Roman" w:eastAsia="MS Mincho" w:hAnsi="Times New Roman"/>
                <w:sz w:val="20"/>
                <w:szCs w:val="20"/>
              </w:rPr>
              <w:t>Uwaga został</w:t>
            </w:r>
            <w:r w:rsidR="004335B0" w:rsidRPr="006F6473">
              <w:rPr>
                <w:rFonts w:ascii="Times New Roman" w:eastAsia="MS Mincho" w:hAnsi="Times New Roman"/>
                <w:sz w:val="20"/>
                <w:szCs w:val="20"/>
              </w:rPr>
              <w:t>a</w:t>
            </w:r>
            <w:r w:rsidRPr="006F6473">
              <w:rPr>
                <w:rFonts w:ascii="Times New Roman" w:eastAsia="MS Mincho" w:hAnsi="Times New Roman"/>
                <w:sz w:val="20"/>
                <w:szCs w:val="20"/>
              </w:rPr>
              <w:t xml:space="preserve"> uwzględniona: data wejścia w życie doda</w:t>
            </w:r>
            <w:r w:rsidR="004335B0" w:rsidRPr="006F6473">
              <w:rPr>
                <w:rFonts w:ascii="Times New Roman" w:eastAsia="MS Mincho" w:hAnsi="Times New Roman"/>
                <w:sz w:val="20"/>
                <w:szCs w:val="20"/>
              </w:rPr>
              <w:t>wanego</w:t>
            </w:r>
            <w:r w:rsidRPr="006F6473">
              <w:rPr>
                <w:rFonts w:ascii="Times New Roman" w:eastAsia="MS Mincho" w:hAnsi="Times New Roman"/>
                <w:sz w:val="20"/>
                <w:szCs w:val="20"/>
              </w:rPr>
              <w:t xml:space="preserve"> przepisu art. 5 § 5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xml:space="preserve">. </w:t>
            </w:r>
            <w:r w:rsidR="004335B0" w:rsidRPr="006F6473">
              <w:rPr>
                <w:rFonts w:ascii="Times New Roman" w:eastAsia="MS Mincho" w:hAnsi="Times New Roman"/>
                <w:sz w:val="20"/>
                <w:szCs w:val="20"/>
              </w:rPr>
              <w:t>zostanie skorelowana z datą wejścia w życie pr</w:t>
            </w:r>
            <w:r w:rsidR="00F96701" w:rsidRPr="006F6473">
              <w:rPr>
                <w:rFonts w:ascii="Times New Roman" w:eastAsia="MS Mincho" w:hAnsi="Times New Roman"/>
                <w:sz w:val="20"/>
                <w:szCs w:val="20"/>
              </w:rPr>
              <w:t xml:space="preserve">zepisów </w:t>
            </w:r>
            <w:r w:rsidR="004335B0" w:rsidRPr="006F6473">
              <w:rPr>
                <w:rFonts w:ascii="Times New Roman" w:eastAsia="MS Mincho" w:hAnsi="Times New Roman"/>
                <w:sz w:val="20"/>
                <w:szCs w:val="20"/>
              </w:rPr>
              <w:t xml:space="preserve">oznaczonych w </w:t>
            </w:r>
            <w:r w:rsidR="00F96701" w:rsidRPr="006F6473">
              <w:rPr>
                <w:rFonts w:ascii="Times New Roman" w:eastAsia="MS Mincho" w:hAnsi="Times New Roman"/>
                <w:sz w:val="20"/>
                <w:szCs w:val="20"/>
              </w:rPr>
              <w:t xml:space="preserve">dotychczasowej wersji </w:t>
            </w:r>
            <w:r w:rsidR="004335B0" w:rsidRPr="006F6473">
              <w:rPr>
                <w:rFonts w:ascii="Times New Roman" w:eastAsia="MS Mincho" w:hAnsi="Times New Roman"/>
                <w:sz w:val="20"/>
                <w:szCs w:val="20"/>
              </w:rPr>
              <w:t>projek</w:t>
            </w:r>
            <w:r w:rsidR="00F96701" w:rsidRPr="006F6473">
              <w:rPr>
                <w:rFonts w:ascii="Times New Roman" w:eastAsia="MS Mincho" w:hAnsi="Times New Roman"/>
                <w:sz w:val="20"/>
                <w:szCs w:val="20"/>
              </w:rPr>
              <w:t>tu</w:t>
            </w:r>
            <w:r w:rsidR="004335B0" w:rsidRPr="006F6473">
              <w:rPr>
                <w:rFonts w:ascii="Times New Roman" w:eastAsia="MS Mincho" w:hAnsi="Times New Roman"/>
                <w:sz w:val="20"/>
                <w:szCs w:val="20"/>
              </w:rPr>
              <w:t xml:space="preserve"> jako art. </w:t>
            </w:r>
            <w:r w:rsidR="00D26AA2" w:rsidRPr="006F6473">
              <w:rPr>
                <w:rFonts w:ascii="Times New Roman" w:eastAsia="MS Mincho" w:hAnsi="Times New Roman"/>
                <w:sz w:val="20"/>
                <w:szCs w:val="20"/>
              </w:rPr>
              <w:t xml:space="preserve">4 i 5, przy czym wymagać to będzie wprowadzenia nieco dłuższego vacatio legis dla tych przepisów, </w:t>
            </w:r>
            <w:r w:rsidR="00DF5653" w:rsidRPr="006F6473">
              <w:rPr>
                <w:rFonts w:ascii="Times New Roman" w:eastAsia="MS Mincho" w:hAnsi="Times New Roman"/>
                <w:sz w:val="20"/>
                <w:szCs w:val="20"/>
              </w:rPr>
              <w:t>w którym realnie możliwe będzie zrealizowanie przez spółki obowiązku założenia strony internetowej.</w:t>
            </w:r>
          </w:p>
          <w:p w:rsidR="00FF491E" w:rsidRPr="006F6473" w:rsidRDefault="00FF491E" w:rsidP="00DF5653">
            <w:pPr>
              <w:jc w:val="both"/>
              <w:rPr>
                <w:rFonts w:ascii="Times New Roman" w:eastAsia="MS Mincho" w:hAnsi="Times New Roman"/>
                <w:sz w:val="20"/>
                <w:szCs w:val="20"/>
                <w:vertAlign w:val="superscript"/>
              </w:rPr>
            </w:pPr>
          </w:p>
        </w:tc>
      </w:tr>
      <w:tr w:rsidR="00FF491E" w:rsidRPr="00ED613F" w:rsidTr="002264D2">
        <w:trPr>
          <w:trHeight w:val="2784"/>
        </w:trPr>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8.</w:t>
            </w:r>
          </w:p>
        </w:tc>
        <w:tc>
          <w:tcPr>
            <w:tcW w:w="2127" w:type="dxa"/>
            <w:vMerge/>
          </w:tcPr>
          <w:p w:rsidR="00FF491E" w:rsidRPr="00ED613F" w:rsidRDefault="00FF491E" w:rsidP="00ED613F">
            <w:pPr>
              <w:spacing w:line="276" w:lineRule="auto"/>
              <w:jc w:val="center"/>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 xml:space="preserve">Proponuje się uzupełnienie danych zgłaszanych do KRS o adres strony internetowej, na której spółka miałaby obowiązek publikować informacje, o których mowa w art. 5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Bez takiej informacji, udostępnianej w tym rejestrze, realizacja obowiązku może okazać się iluzoryczna.</w:t>
            </w:r>
          </w:p>
        </w:tc>
        <w:tc>
          <w:tcPr>
            <w:tcW w:w="5436" w:type="dxa"/>
          </w:tcPr>
          <w:p w:rsidR="00FF491E" w:rsidRPr="006F6473" w:rsidRDefault="002A1377" w:rsidP="00ED613F">
            <w:pPr>
              <w:jc w:val="both"/>
              <w:rPr>
                <w:rFonts w:ascii="Times New Roman" w:eastAsia="MS Mincho" w:hAnsi="Times New Roman"/>
                <w:sz w:val="20"/>
                <w:szCs w:val="20"/>
              </w:rPr>
            </w:pPr>
            <w:r w:rsidRPr="006F6473">
              <w:rPr>
                <w:rFonts w:ascii="Times New Roman" w:eastAsia="MS Mincho" w:hAnsi="Times New Roman"/>
                <w:sz w:val="20"/>
                <w:szCs w:val="20"/>
              </w:rPr>
              <w:t xml:space="preserve">Wyjaśniono, że nie ma potrzeby </w:t>
            </w:r>
            <w:r w:rsidR="00CF4B22" w:rsidRPr="006F6473">
              <w:rPr>
                <w:rFonts w:ascii="Times New Roman" w:eastAsia="MS Mincho" w:hAnsi="Times New Roman"/>
                <w:sz w:val="20"/>
                <w:szCs w:val="20"/>
              </w:rPr>
              <w:t>wprowadzania proponowanej zmiany, ponieważ a</w:t>
            </w:r>
            <w:r w:rsidR="00FF491E" w:rsidRPr="006F6473">
              <w:rPr>
                <w:rFonts w:ascii="Times New Roman" w:eastAsia="MS Mincho" w:hAnsi="Times New Roman"/>
                <w:sz w:val="20"/>
                <w:szCs w:val="20"/>
              </w:rPr>
              <w:t>rt. 38 pkt 1a ustawy o Krajowym Rejestrze</w:t>
            </w:r>
            <w:r w:rsidR="00FF491E" w:rsidRPr="006F6473">
              <w:rPr>
                <w:rFonts w:ascii="Times New Roman" w:eastAsia="MS Mincho" w:hAnsi="Times New Roman"/>
                <w:i/>
                <w:sz w:val="20"/>
                <w:szCs w:val="20"/>
              </w:rPr>
              <w:t xml:space="preserve"> </w:t>
            </w:r>
            <w:r w:rsidR="00FF491E" w:rsidRPr="006F6473">
              <w:rPr>
                <w:rFonts w:ascii="Times New Roman" w:eastAsia="MS Mincho" w:hAnsi="Times New Roman"/>
                <w:sz w:val="20"/>
                <w:szCs w:val="20"/>
              </w:rPr>
              <w:t xml:space="preserve">Sądowym przewiduje już </w:t>
            </w:r>
            <w:r w:rsidR="00CF4B22" w:rsidRPr="006F6473">
              <w:rPr>
                <w:rFonts w:ascii="Times New Roman" w:eastAsia="MS Mincho" w:hAnsi="Times New Roman"/>
                <w:sz w:val="20"/>
                <w:szCs w:val="20"/>
              </w:rPr>
              <w:t xml:space="preserve">obowiązek ujawniania w rejestrze </w:t>
            </w:r>
            <w:r w:rsidR="00135794" w:rsidRPr="006F6473">
              <w:rPr>
                <w:rFonts w:ascii="Times New Roman" w:eastAsia="MS Mincho" w:hAnsi="Times New Roman"/>
                <w:sz w:val="20"/>
                <w:szCs w:val="20"/>
              </w:rPr>
              <w:t xml:space="preserve">przedsiębiorców </w:t>
            </w:r>
            <w:r w:rsidR="00CF4B22" w:rsidRPr="006F6473">
              <w:rPr>
                <w:rFonts w:ascii="Times New Roman" w:eastAsia="MS Mincho" w:hAnsi="Times New Roman"/>
                <w:sz w:val="20"/>
                <w:szCs w:val="20"/>
              </w:rPr>
              <w:t xml:space="preserve">adresu strony </w:t>
            </w:r>
            <w:r w:rsidR="00135794" w:rsidRPr="006F6473">
              <w:rPr>
                <w:rFonts w:ascii="Times New Roman" w:eastAsia="MS Mincho" w:hAnsi="Times New Roman"/>
                <w:sz w:val="20"/>
                <w:szCs w:val="20"/>
              </w:rPr>
              <w:t>internetowej</w:t>
            </w:r>
            <w:r w:rsidR="00CF4B22" w:rsidRPr="006F6473">
              <w:rPr>
                <w:rFonts w:ascii="Times New Roman" w:eastAsia="MS Mincho" w:hAnsi="Times New Roman"/>
                <w:sz w:val="20"/>
                <w:szCs w:val="20"/>
              </w:rPr>
              <w:t>, je</w:t>
            </w:r>
            <w:r w:rsidR="00135794" w:rsidRPr="006F6473">
              <w:rPr>
                <w:rFonts w:ascii="Times New Roman" w:eastAsia="MS Mincho" w:hAnsi="Times New Roman"/>
                <w:sz w:val="20"/>
                <w:szCs w:val="20"/>
              </w:rPr>
              <w:t>że</w:t>
            </w:r>
            <w:r w:rsidR="00CF4B22" w:rsidRPr="006F6473">
              <w:rPr>
                <w:rFonts w:ascii="Times New Roman" w:eastAsia="MS Mincho" w:hAnsi="Times New Roman"/>
                <w:sz w:val="20"/>
                <w:szCs w:val="20"/>
              </w:rPr>
              <w:t xml:space="preserve">li spółka posiada taka stronę. </w:t>
            </w:r>
          </w:p>
          <w:p w:rsidR="00FF491E" w:rsidRPr="006F6473" w:rsidRDefault="0043460C" w:rsidP="00DA3DCF">
            <w:pPr>
              <w:jc w:val="both"/>
              <w:rPr>
                <w:rFonts w:ascii="Times New Roman" w:eastAsia="MS Mincho" w:hAnsi="Times New Roman"/>
                <w:sz w:val="20"/>
                <w:szCs w:val="20"/>
              </w:rPr>
            </w:pPr>
            <w:r w:rsidRPr="006F6473">
              <w:rPr>
                <w:rFonts w:ascii="Times New Roman" w:eastAsia="MS Mincho" w:hAnsi="Times New Roman"/>
                <w:sz w:val="20"/>
                <w:szCs w:val="20"/>
              </w:rPr>
              <w:t xml:space="preserve">Nadto ustalono, że </w:t>
            </w:r>
            <w:r w:rsidR="00676F36" w:rsidRPr="006F6473">
              <w:rPr>
                <w:rFonts w:ascii="Times New Roman" w:hAnsi="Times New Roman"/>
                <w:sz w:val="20"/>
                <w:szCs w:val="20"/>
              </w:rPr>
              <w:t xml:space="preserve">dodawany </w:t>
            </w:r>
            <w:r w:rsidR="00676F36" w:rsidRPr="006F6473">
              <w:rPr>
                <w:rFonts w:ascii="Times New Roman" w:eastAsia="MS Mincho" w:hAnsi="Times New Roman"/>
                <w:sz w:val="20"/>
                <w:szCs w:val="20"/>
              </w:rPr>
              <w:t xml:space="preserve">art. 5 § 5 </w:t>
            </w:r>
            <w:proofErr w:type="spellStart"/>
            <w:r w:rsidR="00676F36" w:rsidRPr="006F6473">
              <w:rPr>
                <w:rFonts w:ascii="Times New Roman" w:eastAsia="MS Mincho" w:hAnsi="Times New Roman"/>
                <w:sz w:val="20"/>
                <w:szCs w:val="20"/>
              </w:rPr>
              <w:t>k.s.h</w:t>
            </w:r>
            <w:proofErr w:type="spellEnd"/>
            <w:r w:rsidR="00676F36" w:rsidRPr="006F6473">
              <w:rPr>
                <w:rFonts w:ascii="Times New Roman" w:eastAsia="MS Mincho" w:hAnsi="Times New Roman"/>
                <w:sz w:val="20"/>
                <w:szCs w:val="20"/>
              </w:rPr>
              <w:t xml:space="preserve">. zostanie </w:t>
            </w:r>
            <w:r w:rsidR="00DE2A35" w:rsidRPr="006F6473">
              <w:rPr>
                <w:rFonts w:ascii="Times New Roman" w:eastAsia="MS Mincho" w:hAnsi="Times New Roman"/>
                <w:sz w:val="20"/>
                <w:szCs w:val="20"/>
              </w:rPr>
              <w:t>przeformułowany</w:t>
            </w:r>
            <w:r w:rsidR="00676F36" w:rsidRPr="006F6473">
              <w:rPr>
                <w:rFonts w:ascii="Times New Roman" w:eastAsia="MS Mincho" w:hAnsi="Times New Roman"/>
                <w:sz w:val="20"/>
                <w:szCs w:val="20"/>
              </w:rPr>
              <w:t xml:space="preserve"> (uzupełniony) w taki sposób</w:t>
            </w:r>
            <w:r w:rsidR="00FF491E" w:rsidRPr="006F6473">
              <w:rPr>
                <w:rFonts w:ascii="Times New Roman" w:eastAsia="MS Mincho" w:hAnsi="Times New Roman"/>
                <w:sz w:val="20"/>
                <w:szCs w:val="20"/>
              </w:rPr>
              <w:t>, aby niewątpliwie wynikał z niego obowiązek prowadzenia strony internetowej przez spółkę akcyjną</w:t>
            </w:r>
            <w:r w:rsidR="00640DC8" w:rsidRPr="006F6473">
              <w:rPr>
                <w:rFonts w:ascii="Times New Roman" w:eastAsia="MS Mincho" w:hAnsi="Times New Roman"/>
                <w:sz w:val="20"/>
                <w:szCs w:val="20"/>
              </w:rPr>
              <w:t>, także niepubliczną</w:t>
            </w:r>
            <w:r w:rsidR="00DE2A35" w:rsidRPr="006F6473">
              <w:rPr>
                <w:rFonts w:ascii="Times New Roman" w:eastAsia="MS Mincho" w:hAnsi="Times New Roman"/>
                <w:sz w:val="20"/>
                <w:szCs w:val="20"/>
              </w:rPr>
              <w:t>, a nadto, że z dodawanym przepis</w:t>
            </w:r>
            <w:r w:rsidR="00DA3DCF" w:rsidRPr="006F6473">
              <w:rPr>
                <w:rFonts w:ascii="Times New Roman" w:eastAsia="MS Mincho" w:hAnsi="Times New Roman"/>
                <w:sz w:val="20"/>
                <w:szCs w:val="20"/>
              </w:rPr>
              <w:t>em</w:t>
            </w:r>
            <w:r w:rsidR="00DE2A35" w:rsidRPr="006F6473">
              <w:rPr>
                <w:rFonts w:ascii="Times New Roman" w:eastAsia="MS Mincho" w:hAnsi="Times New Roman"/>
                <w:sz w:val="20"/>
                <w:szCs w:val="20"/>
              </w:rPr>
              <w:t xml:space="preserve"> zostanie </w:t>
            </w:r>
            <w:r w:rsidR="00DA3DCF" w:rsidRPr="006F6473">
              <w:rPr>
                <w:rFonts w:ascii="Times New Roman" w:eastAsia="MS Mincho" w:hAnsi="Times New Roman"/>
                <w:sz w:val="20"/>
                <w:szCs w:val="20"/>
              </w:rPr>
              <w:t>skorelowana</w:t>
            </w:r>
            <w:r w:rsidR="00DE2A35" w:rsidRPr="006F6473">
              <w:rPr>
                <w:rFonts w:ascii="Times New Roman" w:eastAsia="MS Mincho" w:hAnsi="Times New Roman"/>
                <w:sz w:val="20"/>
                <w:szCs w:val="20"/>
              </w:rPr>
              <w:t xml:space="preserve"> </w:t>
            </w:r>
            <w:r w:rsidR="00DA3DCF" w:rsidRPr="006F6473">
              <w:rPr>
                <w:rFonts w:ascii="Times New Roman" w:eastAsia="MS Mincho" w:hAnsi="Times New Roman"/>
                <w:sz w:val="20"/>
                <w:szCs w:val="20"/>
              </w:rPr>
              <w:t>treść</w:t>
            </w:r>
            <w:r w:rsidR="00DE2A35" w:rsidRPr="006F6473">
              <w:rPr>
                <w:rFonts w:ascii="Times New Roman" w:eastAsia="MS Mincho" w:hAnsi="Times New Roman"/>
                <w:sz w:val="20"/>
                <w:szCs w:val="20"/>
              </w:rPr>
              <w:t xml:space="preserve"> </w:t>
            </w:r>
            <w:r w:rsidR="00DA3DCF" w:rsidRPr="006F6473">
              <w:t xml:space="preserve"> </w:t>
            </w:r>
            <w:r w:rsidR="00DA3DCF" w:rsidRPr="006F6473">
              <w:rPr>
                <w:rFonts w:ascii="Times New Roman" w:eastAsia="MS Mincho" w:hAnsi="Times New Roman"/>
                <w:sz w:val="20"/>
                <w:szCs w:val="20"/>
              </w:rPr>
              <w:t>art. 402</w:t>
            </w:r>
            <w:r w:rsidR="00DA3DCF" w:rsidRPr="006F6473">
              <w:rPr>
                <w:rFonts w:ascii="Times New Roman" w:eastAsia="MS Mincho" w:hAnsi="Times New Roman"/>
                <w:sz w:val="20"/>
                <w:szCs w:val="20"/>
                <w:vertAlign w:val="superscript"/>
              </w:rPr>
              <w:t>3</w:t>
            </w:r>
            <w:r w:rsidR="00DA3DCF" w:rsidRPr="006F6473">
              <w:rPr>
                <w:rFonts w:ascii="Times New Roman" w:eastAsia="MS Mincho" w:hAnsi="Times New Roman"/>
                <w:sz w:val="20"/>
                <w:szCs w:val="20"/>
              </w:rPr>
              <w:t xml:space="preserve"> </w:t>
            </w:r>
            <w:proofErr w:type="spellStart"/>
            <w:r w:rsidR="001C3DDB" w:rsidRPr="006F6473">
              <w:rPr>
                <w:rFonts w:ascii="Times New Roman" w:eastAsia="MS Mincho" w:hAnsi="Times New Roman"/>
                <w:sz w:val="20"/>
                <w:szCs w:val="20"/>
              </w:rPr>
              <w:t>k</w:t>
            </w:r>
            <w:r w:rsidR="00DA3DCF" w:rsidRPr="006F6473">
              <w:rPr>
                <w:rFonts w:ascii="Times New Roman" w:eastAsia="MS Mincho" w:hAnsi="Times New Roman"/>
                <w:sz w:val="20"/>
                <w:szCs w:val="20"/>
              </w:rPr>
              <w:t>.s.h</w:t>
            </w:r>
            <w:proofErr w:type="spellEnd"/>
            <w:r w:rsidR="00DA3DCF" w:rsidRPr="006F6473">
              <w:rPr>
                <w:rFonts w:ascii="Times New Roman" w:eastAsia="MS Mincho" w:hAnsi="Times New Roman"/>
                <w:sz w:val="20"/>
                <w:szCs w:val="20"/>
              </w:rPr>
              <w:t>., odnosząca się do prowadzenia strony internetowej przez spółkę publiczną</w:t>
            </w:r>
            <w:r w:rsidR="00272878" w:rsidRPr="006F6473">
              <w:rPr>
                <w:rFonts w:ascii="Times New Roman" w:eastAsia="MS Mincho" w:hAnsi="Times New Roman"/>
                <w:sz w:val="20"/>
                <w:szCs w:val="20"/>
              </w:rPr>
              <w:t>.</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9.</w:t>
            </w:r>
          </w:p>
        </w:tc>
        <w:tc>
          <w:tcPr>
            <w:tcW w:w="2127" w:type="dxa"/>
            <w:vMerge w:val="restart"/>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5 </w:t>
            </w:r>
            <w:r w:rsidRPr="00ED613F">
              <w:rPr>
                <w:rFonts w:ascii="Times New Roman" w:hAnsi="Times New Roman"/>
                <w:b/>
                <w:sz w:val="20"/>
                <w:szCs w:val="20"/>
                <w:lang w:val="de-DE"/>
              </w:rPr>
              <w:t xml:space="preserve"> </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328 § 1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line="276" w:lineRule="auto"/>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MC</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Mając na uwadze zamierzenie projektu ustawy proponuje się sformułowanie treści art. 328 § 1 od strony pozytywnej, poprzez wskazanie, iż akcje mają postać elektroniczną (albo postać dokumentu elektronicznego) i podlegają zarejestrowaniu w rejestrze akcjonariuszy.</w:t>
            </w:r>
          </w:p>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 xml:space="preserve">Powyższe sformułowanie pozwoli nie tylko zaznaczyć, że akcje nie będą już miały postaci dokumentu papierowego, ale również będzie to bardziej spójne z regulacjami ustawy o obrocie instrumentami finansowymi. Zgodnie z ww. ustawą papiery wartościowe (w tym akcje będące np. przedmiotem oferty publicznej) nie mają formy dokumentu od chwili ich zarejestrowania w systemie rejestracji zdematerializowanych papierów wartościowych (depozycie papierów wartościowych), zatem od tego momentu stanowią zapis elektroniczny w odpowiednim rejestrze. Tym samym na podstawie projektowanego art. 328 § 1 akcje spółki akcyjnej, od momentu ich powstania wraz z </w:t>
            </w:r>
            <w:r w:rsidRPr="00ED613F">
              <w:rPr>
                <w:rFonts w:ascii="Times New Roman" w:hAnsi="Times New Roman"/>
                <w:sz w:val="20"/>
                <w:szCs w:val="20"/>
              </w:rPr>
              <w:lastRenderedPageBreak/>
              <w:t>zarejestrowaniem spółki, będą miały postać elektroniczną, co należałoby wyrazić wprost w projektowanym przepisie.</w:t>
            </w:r>
          </w:p>
        </w:tc>
        <w:tc>
          <w:tcPr>
            <w:tcW w:w="5436" w:type="dxa"/>
          </w:tcPr>
          <w:p w:rsidR="00FF491E" w:rsidRDefault="005878BF" w:rsidP="00E62B8A">
            <w:pPr>
              <w:jc w:val="both"/>
              <w:rPr>
                <w:rFonts w:ascii="Times New Roman" w:eastAsia="MS Mincho" w:hAnsi="Times New Roman"/>
                <w:sz w:val="20"/>
                <w:szCs w:val="20"/>
              </w:rPr>
            </w:pPr>
            <w:r w:rsidRPr="00E62B8A">
              <w:rPr>
                <w:rFonts w:ascii="Times New Roman" w:eastAsia="MS Mincho" w:hAnsi="Times New Roman"/>
                <w:sz w:val="20"/>
                <w:szCs w:val="20"/>
              </w:rPr>
              <w:lastRenderedPageBreak/>
              <w:t>Wyjaśniono, że analogiczn</w:t>
            </w:r>
            <w:r w:rsidR="00941B88" w:rsidRPr="00E62B8A">
              <w:rPr>
                <w:rFonts w:ascii="Times New Roman" w:eastAsia="MS Mincho" w:hAnsi="Times New Roman"/>
                <w:sz w:val="20"/>
                <w:szCs w:val="20"/>
              </w:rPr>
              <w:t>e definicje</w:t>
            </w:r>
            <w:r w:rsidRPr="00E62B8A">
              <w:rPr>
                <w:rFonts w:ascii="Times New Roman" w:eastAsia="MS Mincho" w:hAnsi="Times New Roman"/>
                <w:sz w:val="20"/>
                <w:szCs w:val="20"/>
              </w:rPr>
              <w:t xml:space="preserve"> </w:t>
            </w:r>
            <w:r w:rsidR="00941B88" w:rsidRPr="00E62B8A">
              <w:rPr>
                <w:rFonts w:ascii="Times New Roman" w:eastAsia="MS Mincho" w:hAnsi="Times New Roman"/>
                <w:sz w:val="20"/>
                <w:szCs w:val="20"/>
              </w:rPr>
              <w:t>„negatywne” istnieją</w:t>
            </w:r>
            <w:r w:rsidRPr="00E62B8A">
              <w:rPr>
                <w:rFonts w:ascii="Times New Roman" w:eastAsia="MS Mincho" w:hAnsi="Times New Roman"/>
                <w:sz w:val="20"/>
                <w:szCs w:val="20"/>
              </w:rPr>
              <w:t xml:space="preserve"> już w innych ustawach, które defin</w:t>
            </w:r>
            <w:r w:rsidR="00941B88" w:rsidRPr="00E62B8A">
              <w:rPr>
                <w:rFonts w:ascii="Times New Roman" w:eastAsia="MS Mincho" w:hAnsi="Times New Roman"/>
                <w:sz w:val="20"/>
                <w:szCs w:val="20"/>
              </w:rPr>
              <w:t>i</w:t>
            </w:r>
            <w:r w:rsidRPr="00E62B8A">
              <w:rPr>
                <w:rFonts w:ascii="Times New Roman" w:eastAsia="MS Mincho" w:hAnsi="Times New Roman"/>
                <w:sz w:val="20"/>
                <w:szCs w:val="20"/>
              </w:rPr>
              <w:t>ują zdemateriali</w:t>
            </w:r>
            <w:r w:rsidR="00941B88" w:rsidRPr="00E62B8A">
              <w:rPr>
                <w:rFonts w:ascii="Times New Roman" w:eastAsia="MS Mincho" w:hAnsi="Times New Roman"/>
                <w:sz w:val="20"/>
                <w:szCs w:val="20"/>
              </w:rPr>
              <w:t>z</w:t>
            </w:r>
            <w:r w:rsidRPr="00E62B8A">
              <w:rPr>
                <w:rFonts w:ascii="Times New Roman" w:eastAsia="MS Mincho" w:hAnsi="Times New Roman"/>
                <w:sz w:val="20"/>
                <w:szCs w:val="20"/>
              </w:rPr>
              <w:t xml:space="preserve">owane papiery wartościowe (np. art. 5 ust. 1 ustawy </w:t>
            </w:r>
            <w:r w:rsidR="00941B88" w:rsidRPr="00E62B8A">
              <w:rPr>
                <w:rFonts w:ascii="Times New Roman" w:eastAsia="MS Mincho" w:hAnsi="Times New Roman"/>
                <w:sz w:val="20"/>
                <w:szCs w:val="20"/>
              </w:rPr>
              <w:t>o obrocie instrumentami finansowymi,</w:t>
            </w:r>
            <w:r w:rsidR="00FF491E" w:rsidRPr="00E62B8A">
              <w:rPr>
                <w:rFonts w:ascii="Times New Roman" w:eastAsia="MS Mincho" w:hAnsi="Times New Roman"/>
                <w:sz w:val="20"/>
                <w:szCs w:val="20"/>
              </w:rPr>
              <w:t xml:space="preserve"> art. 8 ust. 1 ustawy o obligacjach</w:t>
            </w:r>
            <w:r w:rsidR="00FF491E" w:rsidRPr="00E62B8A">
              <w:rPr>
                <w:rFonts w:ascii="Times New Roman" w:eastAsia="MS Mincho" w:hAnsi="Times New Roman"/>
                <w:i/>
                <w:sz w:val="20"/>
                <w:szCs w:val="20"/>
              </w:rPr>
              <w:t xml:space="preserve">, </w:t>
            </w:r>
            <w:r w:rsidR="00FF491E" w:rsidRPr="00E62B8A">
              <w:rPr>
                <w:rFonts w:ascii="Times New Roman" w:eastAsia="MS Mincho" w:hAnsi="Times New Roman"/>
                <w:sz w:val="20"/>
                <w:szCs w:val="20"/>
              </w:rPr>
              <w:t>art. 90</w:t>
            </w:r>
            <w:r w:rsidR="00FF491E" w:rsidRPr="00E62B8A">
              <w:rPr>
                <w:rFonts w:ascii="Times New Roman" w:eastAsia="MS Mincho" w:hAnsi="Times New Roman"/>
                <w:i/>
                <w:sz w:val="20"/>
                <w:szCs w:val="20"/>
              </w:rPr>
              <w:t xml:space="preserve">  </w:t>
            </w:r>
            <w:r w:rsidR="00FF491E" w:rsidRPr="00E62B8A">
              <w:rPr>
                <w:rFonts w:ascii="Times New Roman" w:eastAsia="MS Mincho" w:hAnsi="Times New Roman"/>
                <w:sz w:val="20"/>
                <w:szCs w:val="20"/>
              </w:rPr>
              <w:t>ustawy – Prawo bankowe</w:t>
            </w:r>
            <w:r w:rsidR="00FF491E" w:rsidRPr="00E62B8A">
              <w:rPr>
                <w:rFonts w:ascii="Times New Roman" w:eastAsia="MS Mincho" w:hAnsi="Times New Roman"/>
                <w:i/>
                <w:sz w:val="20"/>
                <w:szCs w:val="20"/>
              </w:rPr>
              <w:t xml:space="preserve">, </w:t>
            </w:r>
            <w:r w:rsidR="00FF491E" w:rsidRPr="00E62B8A">
              <w:rPr>
                <w:rFonts w:ascii="Times New Roman" w:eastAsia="MS Mincho" w:hAnsi="Times New Roman"/>
                <w:sz w:val="20"/>
                <w:szCs w:val="20"/>
              </w:rPr>
              <w:t xml:space="preserve"> art. 123 ustawy o funduszach inwestycyjnych i zarządzaniu alternatywnymi funduszami inwestycyjnymi</w:t>
            </w:r>
            <w:r w:rsidR="00FF491E" w:rsidRPr="00E62B8A">
              <w:rPr>
                <w:rFonts w:ascii="Times New Roman" w:eastAsia="MS Mincho" w:hAnsi="Times New Roman"/>
                <w:i/>
                <w:sz w:val="20"/>
                <w:szCs w:val="20"/>
              </w:rPr>
              <w:t>.</w:t>
            </w:r>
            <w:r w:rsidR="0089638A" w:rsidRPr="00E62B8A">
              <w:rPr>
                <w:rFonts w:ascii="Times New Roman" w:eastAsia="MS Mincho" w:hAnsi="Times New Roman"/>
                <w:sz w:val="20"/>
                <w:szCs w:val="20"/>
              </w:rPr>
              <w:t>)</w:t>
            </w:r>
            <w:r w:rsidR="008E3E8B" w:rsidRPr="00E62B8A">
              <w:rPr>
                <w:rFonts w:ascii="Times New Roman" w:eastAsia="MS Mincho" w:hAnsi="Times New Roman"/>
                <w:sz w:val="20"/>
                <w:szCs w:val="20"/>
              </w:rPr>
              <w:t xml:space="preserve">. </w:t>
            </w:r>
            <w:r w:rsidR="007D1A2B">
              <w:rPr>
                <w:rFonts w:ascii="Times New Roman" w:eastAsia="MS Mincho" w:hAnsi="Times New Roman"/>
                <w:sz w:val="20"/>
                <w:szCs w:val="20"/>
              </w:rPr>
              <w:t xml:space="preserve">W istocie chodzi w nich o położenie nacisku na to, że mamy do czynienia z papierami wartościowymi, które nie mają postaci materialnej. </w:t>
            </w:r>
            <w:r w:rsidR="008E3E8B" w:rsidRPr="00E62B8A">
              <w:rPr>
                <w:rFonts w:ascii="Times New Roman" w:eastAsia="MS Mincho" w:hAnsi="Times New Roman"/>
                <w:sz w:val="20"/>
                <w:szCs w:val="20"/>
              </w:rPr>
              <w:t>Dla zapewnienia spójności systemowej celowe jest przyjęcie takiej samej konstrukcji w niniejszym projekcie.</w:t>
            </w:r>
          </w:p>
          <w:p w:rsidR="0071306A" w:rsidRPr="00270B29" w:rsidRDefault="0071306A" w:rsidP="00E62B8A">
            <w:pPr>
              <w:jc w:val="both"/>
              <w:rPr>
                <w:rFonts w:ascii="Times New Roman" w:eastAsia="MS Mincho" w:hAnsi="Times New Roman"/>
                <w:sz w:val="20"/>
                <w:szCs w:val="20"/>
              </w:rPr>
            </w:pPr>
            <w:r>
              <w:rPr>
                <w:rFonts w:ascii="Times New Roman" w:eastAsia="MS Mincho" w:hAnsi="Times New Roman"/>
                <w:sz w:val="20"/>
                <w:szCs w:val="20"/>
              </w:rPr>
              <w:t>Natomiast</w:t>
            </w:r>
            <w:r w:rsidR="00270B29">
              <w:rPr>
                <w:rFonts w:ascii="Times New Roman" w:eastAsia="MS Mincho" w:hAnsi="Times New Roman"/>
                <w:sz w:val="20"/>
                <w:szCs w:val="20"/>
              </w:rPr>
              <w:t xml:space="preserve"> konieczność rejestrowania akcji w rejestrze akcjonariuszy akcji wynika z projektowanego art. 328</w:t>
            </w:r>
            <w:r w:rsidR="00270B29">
              <w:rPr>
                <w:rFonts w:ascii="Times New Roman" w:eastAsia="MS Mincho" w:hAnsi="Times New Roman"/>
                <w:sz w:val="20"/>
                <w:szCs w:val="20"/>
                <w:vertAlign w:val="superscript"/>
              </w:rPr>
              <w:t xml:space="preserve">1 </w:t>
            </w:r>
            <w:r w:rsidR="00270B29">
              <w:rPr>
                <w:rFonts w:ascii="Times New Roman" w:eastAsia="MS Mincho" w:hAnsi="Times New Roman"/>
                <w:sz w:val="20"/>
                <w:szCs w:val="20"/>
              </w:rPr>
              <w:t>k.sh., który należy czytać łącznie  z</w:t>
            </w:r>
            <w:r w:rsidR="00202793">
              <w:rPr>
                <w:rFonts w:ascii="Times New Roman" w:eastAsia="MS Mincho" w:hAnsi="Times New Roman"/>
                <w:sz w:val="20"/>
                <w:szCs w:val="20"/>
              </w:rPr>
              <w:t xml:space="preserve"> </w:t>
            </w:r>
            <w:r w:rsidR="00270B29">
              <w:rPr>
                <w:rFonts w:ascii="Times New Roman" w:eastAsia="MS Mincho" w:hAnsi="Times New Roman"/>
                <w:sz w:val="20"/>
                <w:szCs w:val="20"/>
              </w:rPr>
              <w:t xml:space="preserve">art. 328 </w:t>
            </w:r>
            <w:proofErr w:type="spellStart"/>
            <w:r w:rsidR="00270B29">
              <w:rPr>
                <w:rFonts w:ascii="Times New Roman" w:eastAsia="MS Mincho" w:hAnsi="Times New Roman"/>
                <w:sz w:val="20"/>
                <w:szCs w:val="20"/>
              </w:rPr>
              <w:t>k.s</w:t>
            </w:r>
            <w:r w:rsidR="00202793">
              <w:rPr>
                <w:rFonts w:ascii="Times New Roman" w:eastAsia="MS Mincho" w:hAnsi="Times New Roman"/>
                <w:sz w:val="20"/>
                <w:szCs w:val="20"/>
              </w:rPr>
              <w:t>.</w:t>
            </w:r>
            <w:r w:rsidR="00270B29">
              <w:rPr>
                <w:rFonts w:ascii="Times New Roman" w:eastAsia="MS Mincho" w:hAnsi="Times New Roman"/>
                <w:sz w:val="20"/>
                <w:szCs w:val="20"/>
              </w:rPr>
              <w:t>h</w:t>
            </w:r>
            <w:proofErr w:type="spellEnd"/>
            <w:r w:rsidR="00270B29">
              <w:rPr>
                <w:rFonts w:ascii="Times New Roman" w:eastAsia="MS Mincho" w:hAnsi="Times New Roman"/>
                <w:sz w:val="20"/>
                <w:szCs w:val="20"/>
              </w:rPr>
              <w:t>.</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10.</w:t>
            </w:r>
          </w:p>
        </w:tc>
        <w:tc>
          <w:tcPr>
            <w:tcW w:w="2127" w:type="dxa"/>
            <w:vMerge/>
          </w:tcPr>
          <w:p w:rsidR="00FF491E" w:rsidRPr="00ED613F" w:rsidRDefault="00FF491E" w:rsidP="00ED613F">
            <w:pPr>
              <w:spacing w:line="276" w:lineRule="auto"/>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 xml:space="preserve">Przepis art. 328 § 1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proponuje się zredagować od strony pozytywnej wskazując, że akcje mają formę elektroniczną (akcje zdematerializowane). Proponowane w projekcie brzmienie oznacza bowiem konieczność odtworzenia projektowanej normy w drodze interpretacji. Zmiana redakcji pozwoli osiągnąć precyzję tekstu, a projektowany przepis stanie się jasny i zrozumiały dla adresatów zawartej w nim normy.</w:t>
            </w:r>
          </w:p>
        </w:tc>
        <w:tc>
          <w:tcPr>
            <w:tcW w:w="5436" w:type="dxa"/>
          </w:tcPr>
          <w:p w:rsidR="00FF491E" w:rsidRPr="006F6473" w:rsidRDefault="00E62B8A" w:rsidP="00ED613F">
            <w:pPr>
              <w:rPr>
                <w:rFonts w:ascii="Times New Roman" w:eastAsia="MS Mincho" w:hAnsi="Times New Roman"/>
                <w:sz w:val="20"/>
                <w:szCs w:val="20"/>
              </w:rPr>
            </w:pPr>
            <w:r w:rsidRPr="006F6473">
              <w:rPr>
                <w:rFonts w:ascii="Times New Roman" w:eastAsia="MS Mincho" w:hAnsi="Times New Roman"/>
                <w:sz w:val="20"/>
                <w:szCs w:val="20"/>
              </w:rPr>
              <w:t xml:space="preserve">Vide wyjaśnienie do uwagi z pkt </w:t>
            </w:r>
            <w:r w:rsidR="0084538C" w:rsidRPr="006F6473">
              <w:rPr>
                <w:rFonts w:ascii="Times New Roman" w:eastAsia="MS Mincho" w:hAnsi="Times New Roman"/>
                <w:sz w:val="20"/>
                <w:szCs w:val="20"/>
              </w:rPr>
              <w:t>9 tabeli.</w:t>
            </w:r>
          </w:p>
          <w:p w:rsidR="00FF491E" w:rsidRPr="006F6473" w:rsidRDefault="00FF491E" w:rsidP="00ED613F">
            <w:pPr>
              <w:spacing w:line="276" w:lineRule="auto"/>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11.</w:t>
            </w:r>
          </w:p>
        </w:tc>
        <w:tc>
          <w:tcPr>
            <w:tcW w:w="2127" w:type="dxa"/>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3</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line="276" w:lineRule="auto"/>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W związku z projektowaną treścią art. 328</w:t>
            </w:r>
            <w:r w:rsidRPr="00ED613F">
              <w:rPr>
                <w:rFonts w:ascii="Times New Roman" w:hAnsi="Times New Roman"/>
                <w:sz w:val="20"/>
                <w:szCs w:val="20"/>
                <w:vertAlign w:val="superscript"/>
              </w:rPr>
              <w:t>3</w:t>
            </w:r>
            <w:r w:rsidRPr="00ED613F">
              <w:rPr>
                <w:rFonts w:ascii="Times New Roman" w:hAnsi="Times New Roman"/>
                <w:sz w:val="20"/>
                <w:szCs w:val="20"/>
              </w:rPr>
              <w:t xml:space="preserve"> § 2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stanowiącą że statut może zawierać dodatkowe postanowienia dotyczące informacji ujawnianych w rejestrze akcjonariuszy, w uzasadnieniu należy wyjaśnić, czy system, w którym będzie prowadzony rejestr akcjonariuszy, będzie umożliwiać wpisywanie dowolnych informacji.</w:t>
            </w:r>
          </w:p>
        </w:tc>
        <w:tc>
          <w:tcPr>
            <w:tcW w:w="5436" w:type="dxa"/>
          </w:tcPr>
          <w:p w:rsidR="00FF491E" w:rsidRPr="006F6473" w:rsidRDefault="005203C3" w:rsidP="008F2E00">
            <w:pPr>
              <w:jc w:val="both"/>
              <w:rPr>
                <w:rFonts w:ascii="Times New Roman" w:eastAsia="MS Mincho" w:hAnsi="Times New Roman"/>
                <w:sz w:val="20"/>
                <w:szCs w:val="20"/>
              </w:rPr>
            </w:pPr>
            <w:r w:rsidRPr="006F6473">
              <w:rPr>
                <w:rFonts w:ascii="Times New Roman" w:eastAsia="MS Mincho" w:hAnsi="Times New Roman"/>
                <w:sz w:val="20"/>
                <w:szCs w:val="20"/>
              </w:rPr>
              <w:t>Uwaga została uwzględniona: w u</w:t>
            </w:r>
            <w:r w:rsidR="00877C3F" w:rsidRPr="006F6473">
              <w:rPr>
                <w:rFonts w:ascii="Times New Roman" w:eastAsia="MS Mincho" w:hAnsi="Times New Roman"/>
                <w:sz w:val="20"/>
                <w:szCs w:val="20"/>
              </w:rPr>
              <w:t>zasadnieni</w:t>
            </w:r>
            <w:r w:rsidR="008D59DA" w:rsidRPr="006F6473">
              <w:rPr>
                <w:rFonts w:ascii="Times New Roman" w:eastAsia="MS Mincho" w:hAnsi="Times New Roman"/>
                <w:sz w:val="20"/>
                <w:szCs w:val="20"/>
              </w:rPr>
              <w:t xml:space="preserve">u do </w:t>
            </w:r>
            <w:r w:rsidR="00877C3F" w:rsidRPr="006F6473">
              <w:rPr>
                <w:rFonts w:ascii="Times New Roman" w:eastAsia="MS Mincho" w:hAnsi="Times New Roman"/>
                <w:sz w:val="20"/>
                <w:szCs w:val="20"/>
              </w:rPr>
              <w:t>projektu znajdzie się dodatkowe wyjaśnienie w tym zakresie</w:t>
            </w:r>
            <w:r w:rsidR="008F2E00" w:rsidRPr="006F6473">
              <w:rPr>
                <w:rFonts w:ascii="Times New Roman" w:eastAsia="MS Mincho" w:hAnsi="Times New Roman"/>
                <w:sz w:val="20"/>
                <w:szCs w:val="20"/>
              </w:rPr>
              <w:t>.</w:t>
            </w:r>
          </w:p>
        </w:tc>
      </w:tr>
      <w:tr w:rsidR="00FF491E" w:rsidRPr="00ED613F" w:rsidTr="00ED613F">
        <w:tc>
          <w:tcPr>
            <w:tcW w:w="572" w:type="dxa"/>
          </w:tcPr>
          <w:p w:rsidR="00FF491E" w:rsidRPr="00BB1695" w:rsidRDefault="00FF491E" w:rsidP="00ED613F">
            <w:pPr>
              <w:spacing w:line="276" w:lineRule="auto"/>
              <w:rPr>
                <w:rFonts w:ascii="Times New Roman" w:eastAsia="MS Mincho" w:hAnsi="Times New Roman"/>
                <w:sz w:val="20"/>
                <w:szCs w:val="20"/>
              </w:rPr>
            </w:pPr>
            <w:r w:rsidRPr="00BB1695">
              <w:rPr>
                <w:rFonts w:ascii="Times New Roman" w:eastAsia="MS Mincho" w:hAnsi="Times New Roman"/>
                <w:sz w:val="20"/>
                <w:szCs w:val="20"/>
              </w:rPr>
              <w:t>12.</w:t>
            </w:r>
          </w:p>
        </w:tc>
        <w:tc>
          <w:tcPr>
            <w:tcW w:w="2127" w:type="dxa"/>
            <w:vMerge w:val="restart"/>
          </w:tcPr>
          <w:p w:rsidR="00FF491E" w:rsidRPr="00BB1695" w:rsidRDefault="00FF491E" w:rsidP="00ED613F">
            <w:pPr>
              <w:spacing w:line="276" w:lineRule="auto"/>
              <w:jc w:val="center"/>
              <w:rPr>
                <w:rFonts w:ascii="Times New Roman" w:eastAsia="MS Mincho" w:hAnsi="Times New Roman"/>
                <w:b/>
                <w:sz w:val="20"/>
                <w:szCs w:val="20"/>
                <w:lang w:val="de-DE"/>
              </w:rPr>
            </w:pPr>
            <w:r w:rsidRPr="00BB1695">
              <w:rPr>
                <w:rFonts w:ascii="Times New Roman" w:eastAsia="MS Mincho" w:hAnsi="Times New Roman"/>
                <w:b/>
                <w:sz w:val="20"/>
                <w:szCs w:val="20"/>
                <w:lang w:val="de-DE"/>
              </w:rPr>
              <w:t xml:space="preserve">Art. 1 </w:t>
            </w:r>
            <w:proofErr w:type="spellStart"/>
            <w:r w:rsidRPr="00BB1695">
              <w:rPr>
                <w:rFonts w:ascii="Times New Roman" w:eastAsia="MS Mincho" w:hAnsi="Times New Roman"/>
                <w:b/>
                <w:sz w:val="20"/>
                <w:szCs w:val="20"/>
                <w:lang w:val="de-DE"/>
              </w:rPr>
              <w:t>pkt</w:t>
            </w:r>
            <w:proofErr w:type="spellEnd"/>
            <w:r w:rsidRPr="00BB1695">
              <w:rPr>
                <w:rFonts w:ascii="Times New Roman" w:eastAsia="MS Mincho" w:hAnsi="Times New Roman"/>
                <w:b/>
                <w:sz w:val="20"/>
                <w:szCs w:val="20"/>
                <w:lang w:val="de-DE"/>
              </w:rPr>
              <w:t xml:space="preserve"> 6</w:t>
            </w:r>
          </w:p>
          <w:p w:rsidR="00FF491E" w:rsidRPr="00BB1695" w:rsidRDefault="00FF491E" w:rsidP="00ED613F">
            <w:pPr>
              <w:spacing w:line="276" w:lineRule="auto"/>
              <w:rPr>
                <w:rFonts w:ascii="Times New Roman" w:eastAsia="MS Mincho" w:hAnsi="Times New Roman"/>
                <w:b/>
                <w:sz w:val="20"/>
                <w:szCs w:val="20"/>
                <w:lang w:val="de-DE"/>
              </w:rPr>
            </w:pPr>
            <w:r w:rsidRPr="00BB1695">
              <w:rPr>
                <w:rFonts w:ascii="Times New Roman" w:eastAsia="MS Mincho" w:hAnsi="Times New Roman"/>
                <w:b/>
                <w:sz w:val="20"/>
                <w:szCs w:val="20"/>
                <w:lang w:val="de-DE"/>
              </w:rPr>
              <w:t>(</w:t>
            </w:r>
            <w:proofErr w:type="spellStart"/>
            <w:r w:rsidRPr="00BB1695">
              <w:rPr>
                <w:rFonts w:ascii="Times New Roman" w:eastAsia="MS Mincho" w:hAnsi="Times New Roman"/>
                <w:b/>
                <w:sz w:val="20"/>
                <w:szCs w:val="20"/>
                <w:lang w:val="de-DE"/>
              </w:rPr>
              <w:t>dot</w:t>
            </w:r>
            <w:proofErr w:type="spellEnd"/>
            <w:r w:rsidRPr="00BB1695">
              <w:rPr>
                <w:rFonts w:ascii="Times New Roman" w:eastAsia="MS Mincho" w:hAnsi="Times New Roman"/>
                <w:b/>
                <w:sz w:val="20"/>
                <w:szCs w:val="20"/>
                <w:lang w:val="de-DE"/>
              </w:rPr>
              <w:t>. art. 328</w:t>
            </w:r>
            <w:r w:rsidRPr="00BB1695">
              <w:rPr>
                <w:rFonts w:ascii="Times New Roman" w:eastAsia="MS Mincho" w:hAnsi="Times New Roman"/>
                <w:b/>
                <w:sz w:val="20"/>
                <w:szCs w:val="20"/>
                <w:vertAlign w:val="superscript"/>
                <w:lang w:val="de-DE"/>
              </w:rPr>
              <w:t>4</w:t>
            </w:r>
            <w:r w:rsidRPr="00BB1695">
              <w:rPr>
                <w:rFonts w:ascii="Times New Roman" w:eastAsia="MS Mincho" w:hAnsi="Times New Roman"/>
                <w:b/>
                <w:sz w:val="20"/>
                <w:szCs w:val="20"/>
                <w:lang w:val="de-DE"/>
              </w:rPr>
              <w:t xml:space="preserve"> </w:t>
            </w:r>
            <w:proofErr w:type="spellStart"/>
            <w:r w:rsidRPr="00BB1695">
              <w:rPr>
                <w:rFonts w:ascii="Times New Roman" w:eastAsia="MS Mincho" w:hAnsi="Times New Roman"/>
                <w:b/>
                <w:sz w:val="20"/>
                <w:szCs w:val="20"/>
                <w:lang w:val="de-DE"/>
              </w:rPr>
              <w:t>K.s.h</w:t>
            </w:r>
            <w:proofErr w:type="spellEnd"/>
            <w:r w:rsidRPr="00BB1695">
              <w:rPr>
                <w:rFonts w:ascii="Times New Roman" w:eastAsia="MS Mincho" w:hAnsi="Times New Roman"/>
                <w:b/>
                <w:sz w:val="20"/>
                <w:szCs w:val="20"/>
                <w:lang w:val="de-DE"/>
              </w:rPr>
              <w:t>.)</w:t>
            </w:r>
          </w:p>
          <w:p w:rsidR="00FF491E" w:rsidRPr="00BB1695" w:rsidRDefault="00FF491E" w:rsidP="00ED613F">
            <w:pPr>
              <w:spacing w:line="276" w:lineRule="auto"/>
              <w:rPr>
                <w:rFonts w:ascii="Times New Roman" w:eastAsia="MS Mincho" w:hAnsi="Times New Roman"/>
                <w:b/>
                <w:sz w:val="20"/>
                <w:szCs w:val="20"/>
                <w:lang w:val="de-DE"/>
              </w:rPr>
            </w:pPr>
          </w:p>
        </w:tc>
        <w:tc>
          <w:tcPr>
            <w:tcW w:w="1291" w:type="dxa"/>
          </w:tcPr>
          <w:p w:rsidR="00FF491E" w:rsidRPr="00BB1695" w:rsidRDefault="00FF491E" w:rsidP="00ED613F">
            <w:pPr>
              <w:spacing w:line="276" w:lineRule="auto"/>
              <w:jc w:val="center"/>
              <w:rPr>
                <w:rFonts w:ascii="Times New Roman" w:eastAsia="MS Mincho" w:hAnsi="Times New Roman"/>
                <w:b/>
                <w:sz w:val="20"/>
                <w:szCs w:val="20"/>
              </w:rPr>
            </w:pPr>
            <w:r w:rsidRPr="00BB1695">
              <w:rPr>
                <w:rFonts w:ascii="Times New Roman" w:eastAsia="MS Mincho" w:hAnsi="Times New Roman"/>
                <w:b/>
                <w:sz w:val="20"/>
                <w:szCs w:val="20"/>
              </w:rPr>
              <w:t>MR</w:t>
            </w:r>
          </w:p>
        </w:tc>
        <w:tc>
          <w:tcPr>
            <w:tcW w:w="6041" w:type="dxa"/>
          </w:tcPr>
          <w:p w:rsidR="00FF491E" w:rsidRPr="00BB1695" w:rsidRDefault="00FF491E" w:rsidP="00ED613F">
            <w:pPr>
              <w:jc w:val="both"/>
              <w:rPr>
                <w:rFonts w:ascii="Times New Roman" w:hAnsi="Times New Roman"/>
                <w:sz w:val="20"/>
                <w:szCs w:val="20"/>
              </w:rPr>
            </w:pPr>
            <w:r w:rsidRPr="00BB1695">
              <w:rPr>
                <w:rFonts w:ascii="Times New Roman" w:hAnsi="Times New Roman"/>
                <w:sz w:val="20"/>
                <w:szCs w:val="20"/>
              </w:rPr>
              <w:t xml:space="preserve">Projektowany przepis wprowadza, przed dokonaniem wpisu w rejestrze akcjonariuszy, obowiązek powiadomienia przez podmiot prowadzący rejestr o takim zamiarze osobę, której uprawnienia mają być wykreślone, zmienione lub obciążone przez wpis. Jest to rozwiązanie analogiczne do rozwiązania funkcjonującego </w:t>
            </w:r>
            <w:r w:rsidRPr="00BB1695">
              <w:rPr>
                <w:rFonts w:ascii="Times New Roman" w:hAnsi="Times New Roman"/>
                <w:i/>
                <w:iCs/>
                <w:sz w:val="20"/>
                <w:szCs w:val="20"/>
              </w:rPr>
              <w:t xml:space="preserve">de lege lata </w:t>
            </w:r>
            <w:r w:rsidRPr="00BB1695">
              <w:rPr>
                <w:rFonts w:ascii="Times New Roman" w:hAnsi="Times New Roman"/>
                <w:sz w:val="20"/>
                <w:szCs w:val="20"/>
              </w:rPr>
              <w:t xml:space="preserve">co do dokonywania zmian w księdze akcyjnej. W odróżnieniu od rozwiązań przyjętych w odniesieniu do księgi akcyjnej, projektodawca nie wprowadza uprawnienia do zgłoszenia przez powiadamianą osobę sprzeciwu, który wstrzymywałby zmianę wpisu. Nie zostało natomiast wyjaśnione, jakie argumenty za tym przemawiają. </w:t>
            </w:r>
          </w:p>
          <w:p w:rsidR="00FF491E" w:rsidRPr="00BB1695" w:rsidRDefault="00FF491E" w:rsidP="00ED613F">
            <w:pPr>
              <w:jc w:val="both"/>
              <w:rPr>
                <w:rFonts w:ascii="Times New Roman" w:hAnsi="Times New Roman"/>
                <w:sz w:val="20"/>
                <w:szCs w:val="20"/>
              </w:rPr>
            </w:pPr>
          </w:p>
          <w:p w:rsidR="00FF491E" w:rsidRPr="00BB1695" w:rsidRDefault="00FF491E" w:rsidP="00ED613F">
            <w:pPr>
              <w:jc w:val="both"/>
              <w:rPr>
                <w:rFonts w:ascii="Times New Roman" w:hAnsi="Times New Roman"/>
                <w:sz w:val="20"/>
                <w:szCs w:val="20"/>
              </w:rPr>
            </w:pPr>
          </w:p>
          <w:p w:rsidR="00FF491E" w:rsidRPr="00BB1695" w:rsidRDefault="00FF491E" w:rsidP="00ED613F">
            <w:pPr>
              <w:jc w:val="both"/>
              <w:rPr>
                <w:rFonts w:ascii="Times New Roman" w:hAnsi="Times New Roman"/>
                <w:sz w:val="20"/>
                <w:szCs w:val="20"/>
              </w:rPr>
            </w:pPr>
          </w:p>
          <w:p w:rsidR="00FF491E" w:rsidRPr="00BB1695" w:rsidRDefault="00FF491E" w:rsidP="00ED613F">
            <w:pPr>
              <w:jc w:val="both"/>
              <w:rPr>
                <w:rFonts w:ascii="Times New Roman" w:hAnsi="Times New Roman"/>
                <w:sz w:val="20"/>
                <w:szCs w:val="20"/>
              </w:rPr>
            </w:pPr>
          </w:p>
          <w:p w:rsidR="00FF491E" w:rsidRPr="00BB1695" w:rsidRDefault="00FF491E" w:rsidP="00ED613F">
            <w:pPr>
              <w:jc w:val="both"/>
              <w:rPr>
                <w:rFonts w:ascii="Times New Roman" w:hAnsi="Times New Roman"/>
                <w:sz w:val="20"/>
                <w:szCs w:val="20"/>
              </w:rPr>
            </w:pPr>
          </w:p>
          <w:p w:rsidR="00FF491E" w:rsidRPr="00BB1695" w:rsidRDefault="00FF491E" w:rsidP="00ED613F">
            <w:pPr>
              <w:jc w:val="both"/>
              <w:rPr>
                <w:rFonts w:ascii="Times New Roman" w:hAnsi="Times New Roman"/>
                <w:sz w:val="20"/>
                <w:szCs w:val="20"/>
              </w:rPr>
            </w:pPr>
          </w:p>
          <w:p w:rsidR="00FF491E" w:rsidRDefault="00FF491E" w:rsidP="00ED613F">
            <w:pPr>
              <w:jc w:val="both"/>
              <w:rPr>
                <w:rFonts w:ascii="Times New Roman" w:hAnsi="Times New Roman"/>
                <w:sz w:val="20"/>
                <w:szCs w:val="20"/>
              </w:rPr>
            </w:pPr>
          </w:p>
          <w:p w:rsidR="000D74D2" w:rsidRDefault="000D74D2" w:rsidP="00ED613F">
            <w:pPr>
              <w:jc w:val="both"/>
              <w:rPr>
                <w:rFonts w:ascii="Times New Roman" w:hAnsi="Times New Roman"/>
                <w:sz w:val="20"/>
                <w:szCs w:val="20"/>
              </w:rPr>
            </w:pPr>
          </w:p>
          <w:p w:rsidR="008F17F3" w:rsidRDefault="008F17F3" w:rsidP="00ED613F">
            <w:pPr>
              <w:jc w:val="both"/>
              <w:rPr>
                <w:rFonts w:ascii="Times New Roman" w:hAnsi="Times New Roman"/>
                <w:sz w:val="20"/>
                <w:szCs w:val="20"/>
              </w:rPr>
            </w:pPr>
          </w:p>
          <w:p w:rsidR="00FF491E" w:rsidRPr="00BB1695" w:rsidRDefault="00FF491E" w:rsidP="00ED613F">
            <w:pPr>
              <w:jc w:val="both"/>
              <w:rPr>
                <w:rFonts w:ascii="Times New Roman" w:hAnsi="Times New Roman"/>
                <w:sz w:val="20"/>
                <w:szCs w:val="20"/>
              </w:rPr>
            </w:pPr>
            <w:r w:rsidRPr="00BB1695">
              <w:rPr>
                <w:rFonts w:ascii="Times New Roman" w:hAnsi="Times New Roman"/>
                <w:sz w:val="20"/>
                <w:szCs w:val="20"/>
              </w:rPr>
              <w:t>Dodatkowo, pojawia się wątpliwość, czy zastrzeżony w dodawanym art. 328</w:t>
            </w:r>
            <w:r w:rsidRPr="00BB1695">
              <w:rPr>
                <w:rFonts w:ascii="Times New Roman" w:hAnsi="Times New Roman"/>
                <w:sz w:val="20"/>
                <w:szCs w:val="20"/>
                <w:vertAlign w:val="superscript"/>
              </w:rPr>
              <w:t>4</w:t>
            </w:r>
            <w:r w:rsidRPr="00BB1695">
              <w:rPr>
                <w:rFonts w:ascii="Times New Roman" w:hAnsi="Times New Roman"/>
                <w:sz w:val="20"/>
                <w:szCs w:val="20"/>
              </w:rPr>
              <w:t xml:space="preserve"> § 1 </w:t>
            </w:r>
            <w:proofErr w:type="spellStart"/>
            <w:r w:rsidRPr="00BB1695">
              <w:rPr>
                <w:rFonts w:ascii="Times New Roman" w:hAnsi="Times New Roman"/>
                <w:sz w:val="20"/>
                <w:szCs w:val="20"/>
              </w:rPr>
              <w:t>K.s.h</w:t>
            </w:r>
            <w:proofErr w:type="spellEnd"/>
            <w:r w:rsidRPr="00BB1695">
              <w:rPr>
                <w:rFonts w:ascii="Times New Roman" w:hAnsi="Times New Roman"/>
                <w:sz w:val="20"/>
                <w:szCs w:val="20"/>
              </w:rPr>
              <w:t>. termin na dokonanie przez podmiot prowadzący rejestr akcjonariuszy wpisu nie powinien być liczony od dnia wystąpienia z żądaniem przez spółkę lub inną osobę mającą interes prawny w dokonaniu wpisu (wydaje się, że nie ma potrzeby odwoływania się do momentu powzięcia wiedzy o zdarzeniu uzasadniającym dokonanie wpisu).</w:t>
            </w:r>
          </w:p>
        </w:tc>
        <w:tc>
          <w:tcPr>
            <w:tcW w:w="5436" w:type="dxa"/>
          </w:tcPr>
          <w:p w:rsidR="00FF491E" w:rsidRPr="006F6473" w:rsidRDefault="00EC5983" w:rsidP="00ED613F">
            <w:pPr>
              <w:jc w:val="both"/>
              <w:rPr>
                <w:rFonts w:ascii="Times New Roman" w:eastAsia="MS Mincho" w:hAnsi="Times New Roman"/>
                <w:sz w:val="20"/>
                <w:szCs w:val="20"/>
              </w:rPr>
            </w:pPr>
            <w:r w:rsidRPr="006F6473">
              <w:rPr>
                <w:rFonts w:ascii="Times New Roman" w:eastAsia="MS Mincho" w:hAnsi="Times New Roman"/>
                <w:sz w:val="20"/>
                <w:szCs w:val="20"/>
              </w:rPr>
              <w:t>Wyjaśniono</w:t>
            </w:r>
            <w:r w:rsidR="00443EB0" w:rsidRPr="006F6473">
              <w:rPr>
                <w:rFonts w:ascii="Times New Roman" w:eastAsia="MS Mincho" w:hAnsi="Times New Roman"/>
                <w:sz w:val="20"/>
                <w:szCs w:val="20"/>
              </w:rPr>
              <w:t>, że r</w:t>
            </w:r>
            <w:r w:rsidR="00FF491E" w:rsidRPr="006F6473">
              <w:rPr>
                <w:rFonts w:ascii="Times New Roman" w:eastAsia="MS Mincho" w:hAnsi="Times New Roman"/>
                <w:sz w:val="20"/>
                <w:szCs w:val="20"/>
              </w:rPr>
              <w:t>egulacja sprzeci</w:t>
            </w:r>
            <w:r w:rsidR="00443EB0" w:rsidRPr="006F6473">
              <w:rPr>
                <w:rFonts w:ascii="Times New Roman" w:eastAsia="MS Mincho" w:hAnsi="Times New Roman"/>
                <w:sz w:val="20"/>
                <w:szCs w:val="20"/>
              </w:rPr>
              <w:t xml:space="preserve">wu przewidziana w art. 341 § 4 </w:t>
            </w:r>
            <w:proofErr w:type="spellStart"/>
            <w:r w:rsidR="00443EB0" w:rsidRPr="006F6473">
              <w:rPr>
                <w:rFonts w:ascii="Times New Roman" w:eastAsia="MS Mincho" w:hAnsi="Times New Roman"/>
                <w:sz w:val="20"/>
                <w:szCs w:val="20"/>
              </w:rPr>
              <w:t>k</w:t>
            </w:r>
            <w:r w:rsidR="001479CD" w:rsidRPr="006F6473">
              <w:rPr>
                <w:rFonts w:ascii="Times New Roman" w:eastAsia="MS Mincho" w:hAnsi="Times New Roman"/>
                <w:sz w:val="20"/>
                <w:szCs w:val="20"/>
              </w:rPr>
              <w:t>.s.h</w:t>
            </w:r>
            <w:proofErr w:type="spellEnd"/>
            <w:r w:rsidR="001479CD" w:rsidRPr="006F6473">
              <w:rPr>
                <w:rFonts w:ascii="Times New Roman" w:eastAsia="MS Mincho" w:hAnsi="Times New Roman"/>
                <w:sz w:val="20"/>
                <w:szCs w:val="20"/>
              </w:rPr>
              <w:t>. dla</w:t>
            </w:r>
            <w:r w:rsidR="00FF491E" w:rsidRPr="006F6473">
              <w:rPr>
                <w:rFonts w:ascii="Times New Roman" w:eastAsia="MS Mincho" w:hAnsi="Times New Roman"/>
                <w:sz w:val="20"/>
                <w:szCs w:val="20"/>
              </w:rPr>
              <w:t xml:space="preserve"> księgi akcyjnej</w:t>
            </w:r>
            <w:r w:rsidR="001479CD" w:rsidRPr="006F6473">
              <w:rPr>
                <w:rFonts w:ascii="Times New Roman" w:eastAsia="MS Mincho" w:hAnsi="Times New Roman"/>
                <w:sz w:val="20"/>
                <w:szCs w:val="20"/>
              </w:rPr>
              <w:t xml:space="preserve"> jest</w:t>
            </w:r>
            <w:r w:rsidR="00FF491E" w:rsidRPr="006F6473">
              <w:rPr>
                <w:rFonts w:ascii="Times New Roman" w:eastAsia="MS Mincho" w:hAnsi="Times New Roman"/>
                <w:sz w:val="20"/>
                <w:szCs w:val="20"/>
              </w:rPr>
              <w:t xml:space="preserve"> zbyt restrykcyjna</w:t>
            </w:r>
            <w:r w:rsidR="001479CD" w:rsidRPr="006F6473">
              <w:rPr>
                <w:rFonts w:ascii="Times New Roman" w:eastAsia="MS Mincho" w:hAnsi="Times New Roman"/>
                <w:sz w:val="20"/>
                <w:szCs w:val="20"/>
              </w:rPr>
              <w:t xml:space="preserve"> i nie powinna być przejmowana do reżimu rejestru akcjonariuszy.</w:t>
            </w:r>
            <w:r w:rsidR="00FF491E" w:rsidRPr="006F6473">
              <w:rPr>
                <w:rFonts w:ascii="Times New Roman" w:eastAsia="MS Mincho" w:hAnsi="Times New Roman"/>
                <w:sz w:val="20"/>
                <w:szCs w:val="20"/>
              </w:rPr>
              <w:t xml:space="preserve"> </w:t>
            </w:r>
            <w:r w:rsidR="00162590" w:rsidRPr="006F6473">
              <w:rPr>
                <w:rFonts w:ascii="Times New Roman" w:eastAsia="MS Mincho" w:hAnsi="Times New Roman"/>
                <w:sz w:val="20"/>
                <w:szCs w:val="20"/>
              </w:rPr>
              <w:t>W istocie</w:t>
            </w:r>
            <w:r w:rsidR="00FF491E" w:rsidRPr="006F6473">
              <w:rPr>
                <w:rFonts w:ascii="Times New Roman" w:eastAsia="MS Mincho" w:hAnsi="Times New Roman"/>
                <w:sz w:val="20"/>
                <w:szCs w:val="20"/>
              </w:rPr>
              <w:t xml:space="preserve"> sprzeciw wywiera skutek swoistego weta wobec zmian w księdze akcyjnej, które nie wymaga uzasadnienia merytorycznego</w:t>
            </w:r>
            <w:r w:rsidR="001958E9" w:rsidRPr="006F6473">
              <w:rPr>
                <w:rFonts w:ascii="Times New Roman" w:eastAsia="MS Mincho" w:hAnsi="Times New Roman"/>
                <w:sz w:val="20"/>
                <w:szCs w:val="20"/>
              </w:rPr>
              <w:t xml:space="preserve"> i które</w:t>
            </w:r>
            <w:r w:rsidR="00FF491E" w:rsidRPr="006F6473">
              <w:rPr>
                <w:rFonts w:ascii="Times New Roman" w:eastAsia="MS Mincho" w:hAnsi="Times New Roman"/>
                <w:sz w:val="20"/>
                <w:szCs w:val="20"/>
              </w:rPr>
              <w:t xml:space="preserve"> może odblokować wyłącznie </w:t>
            </w:r>
            <w:r w:rsidR="00162590" w:rsidRPr="006F6473">
              <w:rPr>
                <w:rFonts w:ascii="Times New Roman" w:eastAsia="MS Mincho" w:hAnsi="Times New Roman"/>
                <w:sz w:val="20"/>
                <w:szCs w:val="20"/>
              </w:rPr>
              <w:t>sąd prawomocnym wyrokiem w post</w:t>
            </w:r>
            <w:r w:rsidR="001958E9" w:rsidRPr="006F6473">
              <w:rPr>
                <w:rFonts w:ascii="Times New Roman" w:eastAsia="MS Mincho" w:hAnsi="Times New Roman"/>
                <w:sz w:val="20"/>
                <w:szCs w:val="20"/>
              </w:rPr>
              <w:t>ę</w:t>
            </w:r>
            <w:r w:rsidR="00FF491E" w:rsidRPr="006F6473">
              <w:rPr>
                <w:rFonts w:ascii="Times New Roman" w:eastAsia="MS Mincho" w:hAnsi="Times New Roman"/>
                <w:sz w:val="20"/>
                <w:szCs w:val="20"/>
              </w:rPr>
              <w:t>powaniu o ustalenie wytoczonym w trybie art. 189 k</w:t>
            </w:r>
            <w:r w:rsidR="001958E9" w:rsidRPr="006F6473">
              <w:rPr>
                <w:rFonts w:ascii="Times New Roman" w:eastAsia="MS Mincho" w:hAnsi="Times New Roman"/>
                <w:sz w:val="20"/>
                <w:szCs w:val="20"/>
              </w:rPr>
              <w:t>.</w:t>
            </w:r>
            <w:r w:rsidR="00FF491E" w:rsidRPr="006F6473">
              <w:rPr>
                <w:rFonts w:ascii="Times New Roman" w:eastAsia="MS Mincho" w:hAnsi="Times New Roman"/>
                <w:sz w:val="20"/>
                <w:szCs w:val="20"/>
              </w:rPr>
              <w:t>p</w:t>
            </w:r>
            <w:r w:rsidR="001958E9" w:rsidRPr="006F6473">
              <w:rPr>
                <w:rFonts w:ascii="Times New Roman" w:eastAsia="MS Mincho" w:hAnsi="Times New Roman"/>
                <w:sz w:val="20"/>
                <w:szCs w:val="20"/>
              </w:rPr>
              <w:t>.</w:t>
            </w:r>
            <w:r w:rsidR="00FF491E" w:rsidRPr="006F6473">
              <w:rPr>
                <w:rFonts w:ascii="Times New Roman" w:eastAsia="MS Mincho" w:hAnsi="Times New Roman"/>
                <w:sz w:val="20"/>
                <w:szCs w:val="20"/>
              </w:rPr>
              <w:t>c.  Doświadczenia na tle istniejących rozwiązań pozwalają</w:t>
            </w:r>
            <w:r w:rsidR="001958E9" w:rsidRPr="006F6473">
              <w:rPr>
                <w:rFonts w:ascii="Times New Roman" w:eastAsia="MS Mincho" w:hAnsi="Times New Roman"/>
                <w:sz w:val="20"/>
                <w:szCs w:val="20"/>
              </w:rPr>
              <w:t xml:space="preserve"> na ocenę  instytucji sprzeciwu</w:t>
            </w:r>
            <w:r w:rsidR="00FF491E" w:rsidRPr="006F6473">
              <w:rPr>
                <w:rFonts w:ascii="Times New Roman" w:eastAsia="MS Mincho" w:hAnsi="Times New Roman"/>
                <w:sz w:val="20"/>
                <w:szCs w:val="20"/>
              </w:rPr>
              <w:t xml:space="preserve"> jako rodzącej ryzyko instrumentalnego blokowania zmian wpisów i (przy wykorzystaniu legitymacji formalnej) przejęcia kontroli nad spółką, a w tym czasie pozbawienie jej wartościowych aktywów lub przekierowanie przychodów do innych podmiotów. Instytucja sprzeciwu jest zatem instytucją promującą zachowania naganne pod po</w:t>
            </w:r>
            <w:r w:rsidR="001958E9" w:rsidRPr="006F6473">
              <w:rPr>
                <w:rFonts w:ascii="Times New Roman" w:eastAsia="MS Mincho" w:hAnsi="Times New Roman"/>
                <w:sz w:val="20"/>
                <w:szCs w:val="20"/>
              </w:rPr>
              <w:t>zorem ochrony praw udziałowych</w:t>
            </w:r>
            <w:r w:rsidR="00FD76A9" w:rsidRPr="006F6473">
              <w:rPr>
                <w:rFonts w:ascii="Times New Roman" w:eastAsia="MS Mincho" w:hAnsi="Times New Roman"/>
                <w:sz w:val="20"/>
                <w:szCs w:val="20"/>
              </w:rPr>
              <w:t>.</w:t>
            </w:r>
          </w:p>
          <w:p w:rsidR="00FF491E" w:rsidRPr="006F6473" w:rsidRDefault="00FF491E" w:rsidP="00DA0CEC">
            <w:pPr>
              <w:jc w:val="both"/>
              <w:rPr>
                <w:rFonts w:ascii="Times New Roman" w:eastAsia="MS Mincho" w:hAnsi="Times New Roman"/>
                <w:sz w:val="20"/>
                <w:szCs w:val="20"/>
              </w:rPr>
            </w:pPr>
            <w:r w:rsidRPr="006F6473">
              <w:rPr>
                <w:rFonts w:ascii="Times New Roman" w:eastAsia="MS Mincho" w:hAnsi="Times New Roman"/>
                <w:sz w:val="20"/>
                <w:szCs w:val="20"/>
              </w:rPr>
              <w:t>Kwestia ta zostanie dodatkowo wyjaśniona w uzasadnieniu</w:t>
            </w:r>
            <w:r w:rsidR="008D59DA" w:rsidRPr="006F6473">
              <w:rPr>
                <w:rFonts w:ascii="Times New Roman" w:eastAsia="MS Mincho" w:hAnsi="Times New Roman"/>
                <w:sz w:val="20"/>
                <w:szCs w:val="20"/>
              </w:rPr>
              <w:t xml:space="preserve"> do projektu</w:t>
            </w:r>
            <w:r w:rsidRPr="006F6473">
              <w:rPr>
                <w:rFonts w:ascii="Times New Roman" w:eastAsia="MS Mincho" w:hAnsi="Times New Roman"/>
                <w:sz w:val="20"/>
                <w:szCs w:val="20"/>
              </w:rPr>
              <w:t>.</w:t>
            </w:r>
          </w:p>
          <w:p w:rsidR="00FF491E" w:rsidRPr="006F6473" w:rsidRDefault="00FF491E" w:rsidP="00ED613F">
            <w:pPr>
              <w:spacing w:line="276" w:lineRule="auto"/>
              <w:jc w:val="both"/>
              <w:rPr>
                <w:rFonts w:ascii="Times New Roman" w:eastAsia="MS Mincho" w:hAnsi="Times New Roman"/>
                <w:sz w:val="20"/>
                <w:szCs w:val="20"/>
              </w:rPr>
            </w:pPr>
          </w:p>
          <w:p w:rsidR="00FF491E" w:rsidRPr="006F6473" w:rsidRDefault="000D74D2" w:rsidP="00DA0CEC">
            <w:pPr>
              <w:jc w:val="both"/>
              <w:rPr>
                <w:rFonts w:ascii="Times New Roman" w:eastAsia="MS Mincho" w:hAnsi="Times New Roman"/>
                <w:sz w:val="20"/>
                <w:szCs w:val="20"/>
              </w:rPr>
            </w:pPr>
            <w:r w:rsidRPr="006F6473">
              <w:rPr>
                <w:rFonts w:ascii="Times New Roman" w:eastAsia="MS Mincho" w:hAnsi="Times New Roman"/>
                <w:sz w:val="20"/>
                <w:szCs w:val="20"/>
              </w:rPr>
              <w:t>Uwaga została uwzględniona: przepis art. 328</w:t>
            </w:r>
            <w:r w:rsidRPr="006F6473">
              <w:rPr>
                <w:rFonts w:ascii="Times New Roman" w:eastAsia="MS Mincho" w:hAnsi="Times New Roman"/>
                <w:sz w:val="20"/>
                <w:szCs w:val="20"/>
                <w:vertAlign w:val="superscript"/>
              </w:rPr>
              <w:t>4</w:t>
            </w:r>
            <w:r w:rsidRPr="006F6473">
              <w:rPr>
                <w:rFonts w:ascii="Times New Roman" w:eastAsia="MS Mincho" w:hAnsi="Times New Roman"/>
                <w:sz w:val="20"/>
                <w:szCs w:val="20"/>
              </w:rPr>
              <w:t xml:space="preserve"> § 1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zostanie odpowiednio przeformułowany</w:t>
            </w:r>
            <w:r w:rsidR="00FF491E" w:rsidRPr="006F6473">
              <w:rPr>
                <w:rFonts w:ascii="Times New Roman" w:eastAsia="MS Mincho" w:hAnsi="Times New Roman"/>
                <w:sz w:val="20"/>
                <w:szCs w:val="20"/>
              </w:rPr>
              <w:t>.</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13.</w:t>
            </w:r>
          </w:p>
        </w:tc>
        <w:tc>
          <w:tcPr>
            <w:tcW w:w="2127" w:type="dxa"/>
            <w:vMerge/>
          </w:tcPr>
          <w:p w:rsidR="00FF491E" w:rsidRPr="00ED613F" w:rsidRDefault="00FF491E" w:rsidP="00ED613F">
            <w:pPr>
              <w:spacing w:line="276" w:lineRule="auto"/>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9F5F17" w:rsidRDefault="00FF491E" w:rsidP="00ED613F">
            <w:pPr>
              <w:jc w:val="both"/>
              <w:rPr>
                <w:rFonts w:ascii="Times New Roman" w:hAnsi="Times New Roman"/>
                <w:sz w:val="20"/>
                <w:szCs w:val="20"/>
              </w:rPr>
            </w:pPr>
            <w:r w:rsidRPr="00ED613F">
              <w:rPr>
                <w:rFonts w:ascii="Times New Roman" w:hAnsi="Times New Roman"/>
                <w:sz w:val="20"/>
                <w:szCs w:val="20"/>
              </w:rPr>
              <w:t>W projektowanym przepisie art. 328</w:t>
            </w:r>
            <w:r w:rsidRPr="00ED613F">
              <w:rPr>
                <w:rFonts w:ascii="Times New Roman" w:hAnsi="Times New Roman"/>
                <w:sz w:val="20"/>
                <w:szCs w:val="20"/>
                <w:vertAlign w:val="superscript"/>
              </w:rPr>
              <w:t>4</w:t>
            </w:r>
            <w:r w:rsidRPr="00ED613F">
              <w:rPr>
                <w:rFonts w:ascii="Times New Roman" w:hAnsi="Times New Roman"/>
                <w:sz w:val="20"/>
                <w:szCs w:val="20"/>
              </w:rPr>
              <w:t xml:space="preserve"> § 3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xml:space="preserve">. wątpliwości budzi brak kryteriów, według których podmiot prowadzący rejestr akcjonariuszy </w:t>
            </w:r>
            <w:r w:rsidRPr="00ED613F">
              <w:rPr>
                <w:rFonts w:ascii="Times New Roman" w:hAnsi="Times New Roman"/>
                <w:sz w:val="20"/>
                <w:szCs w:val="20"/>
              </w:rPr>
              <w:lastRenderedPageBreak/>
              <w:t xml:space="preserve">poweźmie lub powinien powziąć uzasadnione wątpliwości. </w:t>
            </w: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9F5F17" w:rsidRDefault="009F5F17" w:rsidP="00ED613F">
            <w:pPr>
              <w:jc w:val="both"/>
              <w:rPr>
                <w:rFonts w:ascii="Times New Roman" w:hAnsi="Times New Roman"/>
                <w:sz w:val="20"/>
                <w:szCs w:val="20"/>
              </w:rPr>
            </w:pPr>
          </w:p>
          <w:p w:rsidR="00A77864" w:rsidRDefault="00A77864" w:rsidP="00ED613F">
            <w:pPr>
              <w:jc w:val="both"/>
              <w:rPr>
                <w:rFonts w:ascii="Times New Roman" w:hAnsi="Times New Roman"/>
                <w:sz w:val="20"/>
                <w:szCs w:val="20"/>
              </w:rPr>
            </w:pPr>
          </w:p>
          <w:p w:rsidR="00A77864" w:rsidRDefault="00A77864" w:rsidP="00ED613F">
            <w:pPr>
              <w:jc w:val="both"/>
              <w:rPr>
                <w:rFonts w:ascii="Times New Roman" w:hAnsi="Times New Roman"/>
                <w:sz w:val="20"/>
                <w:szCs w:val="20"/>
              </w:rPr>
            </w:pPr>
          </w:p>
          <w:p w:rsidR="00A77864" w:rsidRDefault="00A77864" w:rsidP="00ED613F">
            <w:pPr>
              <w:jc w:val="both"/>
              <w:rPr>
                <w:rFonts w:ascii="Times New Roman" w:hAnsi="Times New Roman"/>
                <w:sz w:val="20"/>
                <w:szCs w:val="20"/>
              </w:rPr>
            </w:pPr>
          </w:p>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Projekt nie przewiduje także norm wskazujących, jakie działania podmiot będzie mógł podjąć w przypadku powzięcia „uzasadnionych wątpliwości”. Analogiczna uwaga odnosi się także do projektowanego przepisu art. 331</w:t>
            </w:r>
            <w:r w:rsidRPr="00ED613F">
              <w:rPr>
                <w:rFonts w:ascii="Times New Roman" w:hAnsi="Times New Roman"/>
                <w:sz w:val="20"/>
                <w:szCs w:val="20"/>
                <w:vertAlign w:val="superscript"/>
              </w:rPr>
              <w:t>1</w:t>
            </w:r>
            <w:r w:rsidRPr="00ED613F">
              <w:rPr>
                <w:rFonts w:ascii="Times New Roman" w:hAnsi="Times New Roman"/>
                <w:sz w:val="20"/>
                <w:szCs w:val="20"/>
              </w:rPr>
              <w:t xml:space="preserve"> § 3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Projekt wymaga w tym zakresie uzupełnienia.</w:t>
            </w:r>
          </w:p>
          <w:p w:rsidR="00807438" w:rsidRDefault="00807438" w:rsidP="00ED613F">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8C2ED7" w:rsidRDefault="008C2ED7" w:rsidP="00FF7DB6">
            <w:pPr>
              <w:jc w:val="both"/>
              <w:rPr>
                <w:rFonts w:ascii="Times New Roman" w:hAnsi="Times New Roman"/>
                <w:sz w:val="20"/>
                <w:szCs w:val="20"/>
              </w:rPr>
            </w:pPr>
          </w:p>
          <w:p w:rsidR="008C2ED7" w:rsidRDefault="008C2ED7" w:rsidP="00FF7DB6">
            <w:pPr>
              <w:jc w:val="both"/>
              <w:rPr>
                <w:rFonts w:ascii="Times New Roman" w:hAnsi="Times New Roman"/>
                <w:sz w:val="20"/>
                <w:szCs w:val="20"/>
              </w:rPr>
            </w:pPr>
          </w:p>
          <w:p w:rsidR="000F0FF2" w:rsidRDefault="000F0FF2" w:rsidP="00FF7DB6">
            <w:pPr>
              <w:jc w:val="both"/>
              <w:rPr>
                <w:rFonts w:ascii="Times New Roman" w:hAnsi="Times New Roman"/>
                <w:sz w:val="20"/>
                <w:szCs w:val="20"/>
              </w:rPr>
            </w:pPr>
          </w:p>
          <w:p w:rsidR="000F0FF2" w:rsidRDefault="000F0FF2" w:rsidP="00FF7DB6">
            <w:pPr>
              <w:jc w:val="both"/>
              <w:rPr>
                <w:rFonts w:ascii="Times New Roman" w:hAnsi="Times New Roman"/>
                <w:sz w:val="20"/>
                <w:szCs w:val="20"/>
              </w:rPr>
            </w:pPr>
          </w:p>
          <w:p w:rsidR="00FF7DB6" w:rsidRDefault="00FF7DB6" w:rsidP="00FF7DB6">
            <w:pPr>
              <w:jc w:val="both"/>
              <w:rPr>
                <w:rFonts w:ascii="Times New Roman" w:hAnsi="Times New Roman"/>
                <w:sz w:val="20"/>
                <w:szCs w:val="20"/>
              </w:rPr>
            </w:pPr>
          </w:p>
          <w:p w:rsidR="00FF491E" w:rsidRPr="00ED613F" w:rsidRDefault="00FF491E" w:rsidP="00FF7DB6">
            <w:pPr>
              <w:jc w:val="both"/>
              <w:rPr>
                <w:rFonts w:ascii="Times New Roman" w:hAnsi="Times New Roman"/>
                <w:sz w:val="20"/>
                <w:szCs w:val="20"/>
              </w:rPr>
            </w:pPr>
            <w:r w:rsidRPr="00ED613F">
              <w:rPr>
                <w:rFonts w:ascii="Times New Roman" w:hAnsi="Times New Roman"/>
                <w:sz w:val="20"/>
                <w:szCs w:val="20"/>
              </w:rPr>
              <w:t>Z kolei, projektowany art. 328</w:t>
            </w:r>
            <w:r w:rsidRPr="00ED613F">
              <w:rPr>
                <w:rFonts w:ascii="Times New Roman" w:hAnsi="Times New Roman"/>
                <w:sz w:val="20"/>
                <w:szCs w:val="20"/>
                <w:vertAlign w:val="superscript"/>
              </w:rPr>
              <w:t>4</w:t>
            </w:r>
            <w:r w:rsidRPr="00ED613F">
              <w:rPr>
                <w:rFonts w:ascii="Times New Roman" w:hAnsi="Times New Roman"/>
                <w:sz w:val="20"/>
                <w:szCs w:val="20"/>
              </w:rPr>
              <w:t xml:space="preserve"> § 4</w:t>
            </w:r>
            <w:r w:rsidRPr="00ED613F">
              <w:rPr>
                <w:rFonts w:ascii="Times New Roman" w:hAnsi="Times New Roman"/>
                <w:b/>
                <w:sz w:val="20"/>
                <w:szCs w:val="20"/>
              </w:rPr>
              <w:t xml:space="preserve">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w:t>
            </w:r>
            <w:r w:rsidRPr="00ED613F">
              <w:rPr>
                <w:rFonts w:ascii="Times New Roman" w:hAnsi="Times New Roman"/>
                <w:b/>
                <w:sz w:val="20"/>
                <w:szCs w:val="20"/>
              </w:rPr>
              <w:t xml:space="preserve"> </w:t>
            </w:r>
            <w:r w:rsidRPr="00ED613F">
              <w:rPr>
                <w:rFonts w:ascii="Times New Roman" w:hAnsi="Times New Roman"/>
                <w:sz w:val="20"/>
                <w:szCs w:val="20"/>
              </w:rPr>
              <w:t>zezwala podmiotowi prowadzącemu rejestr akcjonariuszy na samodzielne korygowanie oczywistych błędów we wpisach do rejestru, co w praktyce może prowadzić do nadużyć. Rozważenia wymaga możliwość uzupełnienia projektu o normy określające mechanizm kontrolowania lub zatwierdzania zmian dokonywanych przez podmiot prowadzący rejestr akcjonariuszy.</w:t>
            </w:r>
          </w:p>
        </w:tc>
        <w:tc>
          <w:tcPr>
            <w:tcW w:w="5436" w:type="dxa"/>
          </w:tcPr>
          <w:p w:rsidR="009F5F17" w:rsidRPr="006F6473" w:rsidRDefault="00DE560A" w:rsidP="00ED613F">
            <w:pPr>
              <w:jc w:val="both"/>
              <w:rPr>
                <w:rFonts w:ascii="Times New Roman" w:eastAsia="MS Mincho" w:hAnsi="Times New Roman"/>
                <w:iCs/>
                <w:sz w:val="20"/>
                <w:szCs w:val="20"/>
              </w:rPr>
            </w:pPr>
            <w:r w:rsidRPr="006F6473">
              <w:rPr>
                <w:rFonts w:ascii="Times New Roman" w:eastAsia="MS Mincho" w:hAnsi="Times New Roman"/>
                <w:iCs/>
                <w:sz w:val="20"/>
                <w:szCs w:val="20"/>
              </w:rPr>
              <w:lastRenderedPageBreak/>
              <w:t>Wyjaśniono, że celowo posłużono się sformułowaniem o charakterze generalnym</w:t>
            </w:r>
            <w:r w:rsidR="00F502D2" w:rsidRPr="006F6473">
              <w:rPr>
                <w:rFonts w:ascii="Times New Roman" w:eastAsia="MS Mincho" w:hAnsi="Times New Roman"/>
                <w:iCs/>
                <w:sz w:val="20"/>
                <w:szCs w:val="20"/>
              </w:rPr>
              <w:t xml:space="preserve">, ponieważ ocena zasadności / </w:t>
            </w:r>
            <w:r w:rsidR="00F502D2" w:rsidRPr="006F6473">
              <w:rPr>
                <w:rFonts w:ascii="Times New Roman" w:eastAsia="MS Mincho" w:hAnsi="Times New Roman"/>
                <w:iCs/>
                <w:sz w:val="20"/>
                <w:szCs w:val="20"/>
              </w:rPr>
              <w:lastRenderedPageBreak/>
              <w:t>niezasadności wątpliwości</w:t>
            </w:r>
            <w:r w:rsidR="00127C5C" w:rsidRPr="006F6473">
              <w:rPr>
                <w:rFonts w:ascii="Times New Roman" w:eastAsia="MS Mincho" w:hAnsi="Times New Roman"/>
                <w:iCs/>
                <w:sz w:val="20"/>
                <w:szCs w:val="20"/>
              </w:rPr>
              <w:t xml:space="preserve"> powinna być dokonywana każdorazowo w świetle </w:t>
            </w:r>
            <w:r w:rsidR="00DC7E88" w:rsidRPr="006F6473">
              <w:rPr>
                <w:rFonts w:ascii="Times New Roman" w:eastAsia="MS Mincho" w:hAnsi="Times New Roman"/>
                <w:iCs/>
                <w:sz w:val="20"/>
                <w:szCs w:val="20"/>
              </w:rPr>
              <w:t>okoliczności konkretnego przypadku i nie ma pot</w:t>
            </w:r>
            <w:r w:rsidR="002E47AA" w:rsidRPr="006F6473">
              <w:rPr>
                <w:rFonts w:ascii="Times New Roman" w:eastAsia="MS Mincho" w:hAnsi="Times New Roman"/>
                <w:iCs/>
                <w:sz w:val="20"/>
                <w:szCs w:val="20"/>
              </w:rPr>
              <w:t xml:space="preserve">rzeby wskazywania </w:t>
            </w:r>
            <w:r w:rsidR="00127C5C" w:rsidRPr="006F6473">
              <w:rPr>
                <w:rFonts w:ascii="Times New Roman" w:eastAsia="MS Mincho" w:hAnsi="Times New Roman"/>
                <w:iCs/>
                <w:sz w:val="20"/>
                <w:szCs w:val="20"/>
              </w:rPr>
              <w:t xml:space="preserve">w tym względzie żadnych szczegółowych </w:t>
            </w:r>
            <w:r w:rsidR="003C1F2D" w:rsidRPr="006F6473">
              <w:rPr>
                <w:rFonts w:ascii="Times New Roman" w:eastAsia="MS Mincho" w:hAnsi="Times New Roman"/>
                <w:iCs/>
                <w:sz w:val="20"/>
                <w:szCs w:val="20"/>
              </w:rPr>
              <w:t>kryteriów</w:t>
            </w:r>
            <w:r w:rsidR="00127C5C" w:rsidRPr="006F6473">
              <w:rPr>
                <w:rFonts w:ascii="Times New Roman" w:eastAsia="MS Mincho" w:hAnsi="Times New Roman"/>
                <w:iCs/>
                <w:sz w:val="20"/>
                <w:szCs w:val="20"/>
              </w:rPr>
              <w:t>. P</w:t>
            </w:r>
            <w:r w:rsidR="00F85BE9" w:rsidRPr="006F6473">
              <w:rPr>
                <w:rFonts w:ascii="Times New Roman" w:eastAsia="MS Mincho" w:hAnsi="Times New Roman"/>
                <w:iCs/>
                <w:sz w:val="20"/>
                <w:szCs w:val="20"/>
              </w:rPr>
              <w:t xml:space="preserve">odmiot prowadzący rejestr powinien mieć </w:t>
            </w:r>
            <w:r w:rsidR="00127C5C" w:rsidRPr="006F6473">
              <w:rPr>
                <w:rFonts w:ascii="Times New Roman" w:eastAsia="MS Mincho" w:hAnsi="Times New Roman"/>
                <w:iCs/>
                <w:sz w:val="20"/>
                <w:szCs w:val="20"/>
              </w:rPr>
              <w:t>przy tym pewien margines swobody. Należy też wskazać, że identyczne konstrukcje są już stosowane w innych przepisach</w:t>
            </w:r>
            <w:r w:rsidR="002F1926" w:rsidRPr="006F6473">
              <w:rPr>
                <w:rFonts w:ascii="Times New Roman" w:eastAsia="MS Mincho" w:hAnsi="Times New Roman"/>
                <w:iCs/>
                <w:sz w:val="20"/>
                <w:szCs w:val="20"/>
              </w:rPr>
              <w:t xml:space="preserve"> regulujących zbliżone </w:t>
            </w:r>
            <w:r w:rsidR="00F27975" w:rsidRPr="006F6473">
              <w:rPr>
                <w:rFonts w:ascii="Times New Roman" w:eastAsia="MS Mincho" w:hAnsi="Times New Roman"/>
                <w:iCs/>
                <w:sz w:val="20"/>
                <w:szCs w:val="20"/>
              </w:rPr>
              <w:t>sytuacje</w:t>
            </w:r>
            <w:r w:rsidR="002F1926" w:rsidRPr="006F6473">
              <w:rPr>
                <w:rFonts w:ascii="Times New Roman" w:eastAsia="MS Mincho" w:hAnsi="Times New Roman"/>
                <w:iCs/>
                <w:sz w:val="20"/>
                <w:szCs w:val="20"/>
              </w:rPr>
              <w:t xml:space="preserve">, np. </w:t>
            </w:r>
            <w:r w:rsidR="00FF491E" w:rsidRPr="006F6473">
              <w:rPr>
                <w:rFonts w:ascii="Times New Roman" w:eastAsia="MS Mincho" w:hAnsi="Times New Roman"/>
                <w:iCs/>
                <w:sz w:val="20"/>
                <w:szCs w:val="20"/>
              </w:rPr>
              <w:t>w art. 23 ust. 2 ustawy o Krajowym Rejestrze Sądowym.</w:t>
            </w:r>
            <w:r w:rsidR="0094403A" w:rsidRPr="006F6473">
              <w:rPr>
                <w:rFonts w:ascii="Times New Roman" w:eastAsia="MS Mincho" w:hAnsi="Times New Roman"/>
                <w:iCs/>
                <w:sz w:val="20"/>
                <w:szCs w:val="20"/>
              </w:rPr>
              <w:t xml:space="preserve"> </w:t>
            </w:r>
            <w:r w:rsidR="00326838" w:rsidRPr="006F6473">
              <w:rPr>
                <w:rFonts w:ascii="Times New Roman" w:eastAsia="MS Mincho" w:hAnsi="Times New Roman"/>
                <w:iCs/>
                <w:sz w:val="20"/>
                <w:szCs w:val="20"/>
              </w:rPr>
              <w:t xml:space="preserve">Dla </w:t>
            </w:r>
            <w:r w:rsidR="00545623" w:rsidRPr="006F6473">
              <w:rPr>
                <w:rFonts w:ascii="Times New Roman" w:eastAsia="MS Mincho" w:hAnsi="Times New Roman"/>
                <w:iCs/>
                <w:sz w:val="20"/>
                <w:szCs w:val="20"/>
              </w:rPr>
              <w:t>uproszczenia stosowania omawianego przepis</w:t>
            </w:r>
            <w:r w:rsidR="00A77864" w:rsidRPr="006F6473">
              <w:rPr>
                <w:rFonts w:ascii="Times New Roman" w:eastAsia="MS Mincho" w:hAnsi="Times New Roman"/>
                <w:iCs/>
                <w:sz w:val="20"/>
                <w:szCs w:val="20"/>
              </w:rPr>
              <w:t>u</w:t>
            </w:r>
            <w:r w:rsidR="00326838" w:rsidRPr="006F6473">
              <w:rPr>
                <w:rFonts w:ascii="Times New Roman" w:eastAsia="MS Mincho" w:hAnsi="Times New Roman"/>
                <w:iCs/>
                <w:sz w:val="20"/>
                <w:szCs w:val="20"/>
              </w:rPr>
              <w:t>, wzorem w</w:t>
            </w:r>
            <w:r w:rsidR="00545623" w:rsidRPr="006F6473">
              <w:rPr>
                <w:rFonts w:ascii="Times New Roman" w:eastAsia="MS Mincho" w:hAnsi="Times New Roman"/>
                <w:iCs/>
                <w:sz w:val="20"/>
                <w:szCs w:val="20"/>
              </w:rPr>
              <w:t>/</w:t>
            </w:r>
            <w:r w:rsidR="00A77864" w:rsidRPr="006F6473">
              <w:rPr>
                <w:rFonts w:ascii="Times New Roman" w:eastAsia="MS Mincho" w:hAnsi="Times New Roman"/>
                <w:iCs/>
                <w:sz w:val="20"/>
                <w:szCs w:val="20"/>
              </w:rPr>
              <w:t>w regulacji ustawy o KRS</w:t>
            </w:r>
            <w:r w:rsidR="00326838" w:rsidRPr="006F6473">
              <w:rPr>
                <w:rFonts w:ascii="Times New Roman" w:eastAsia="MS Mincho" w:hAnsi="Times New Roman"/>
                <w:iCs/>
                <w:sz w:val="20"/>
                <w:szCs w:val="20"/>
              </w:rPr>
              <w:t xml:space="preserve">, z § </w:t>
            </w:r>
            <w:r w:rsidR="00BA4282" w:rsidRPr="006F6473">
              <w:rPr>
                <w:rFonts w:ascii="Times New Roman" w:eastAsia="MS Mincho" w:hAnsi="Times New Roman"/>
                <w:iCs/>
                <w:sz w:val="20"/>
                <w:szCs w:val="20"/>
              </w:rPr>
              <w:t>3 omawianego artykułu wykreślone zostaną</w:t>
            </w:r>
            <w:r w:rsidR="00326838" w:rsidRPr="006F6473">
              <w:rPr>
                <w:rFonts w:ascii="Times New Roman" w:eastAsia="MS Mincho" w:hAnsi="Times New Roman"/>
                <w:iCs/>
                <w:sz w:val="20"/>
                <w:szCs w:val="20"/>
              </w:rPr>
              <w:t xml:space="preserve"> </w:t>
            </w:r>
            <w:r w:rsidR="00545623" w:rsidRPr="006F6473">
              <w:rPr>
                <w:rFonts w:ascii="Times New Roman" w:eastAsia="MS Mincho" w:hAnsi="Times New Roman"/>
                <w:iCs/>
                <w:sz w:val="20"/>
                <w:szCs w:val="20"/>
              </w:rPr>
              <w:t>słowa „lub powinien był powziąć.”</w:t>
            </w:r>
          </w:p>
          <w:p w:rsidR="00FF491E" w:rsidRPr="006F6473" w:rsidRDefault="00FF491E" w:rsidP="00ED613F">
            <w:pPr>
              <w:jc w:val="both"/>
              <w:rPr>
                <w:rFonts w:ascii="Times New Roman" w:eastAsia="MS Mincho" w:hAnsi="Times New Roman"/>
                <w:iCs/>
                <w:sz w:val="20"/>
                <w:szCs w:val="20"/>
              </w:rPr>
            </w:pPr>
            <w:r w:rsidRPr="006F6473">
              <w:rPr>
                <w:rFonts w:ascii="Times New Roman" w:eastAsia="MS Mincho" w:hAnsi="Times New Roman"/>
                <w:iCs/>
                <w:sz w:val="20"/>
                <w:szCs w:val="20"/>
              </w:rPr>
              <w:t xml:space="preserve"> </w:t>
            </w:r>
          </w:p>
          <w:p w:rsidR="00FF491E" w:rsidRPr="006F6473" w:rsidRDefault="00FF491E" w:rsidP="00ED613F">
            <w:pPr>
              <w:jc w:val="both"/>
              <w:rPr>
                <w:rFonts w:ascii="Times New Roman" w:eastAsia="MS Mincho" w:hAnsi="Times New Roman"/>
                <w:iCs/>
                <w:sz w:val="20"/>
                <w:szCs w:val="20"/>
              </w:rPr>
            </w:pPr>
            <w:r w:rsidRPr="006F6473">
              <w:rPr>
                <w:rFonts w:ascii="Times New Roman" w:eastAsia="MS Mincho" w:hAnsi="Times New Roman"/>
                <w:iCs/>
                <w:sz w:val="20"/>
                <w:szCs w:val="20"/>
              </w:rPr>
              <w:t>W</w:t>
            </w:r>
            <w:r w:rsidR="009F5F17" w:rsidRPr="006F6473">
              <w:rPr>
                <w:rFonts w:ascii="Times New Roman" w:eastAsia="MS Mincho" w:hAnsi="Times New Roman"/>
                <w:iCs/>
                <w:sz w:val="20"/>
                <w:szCs w:val="20"/>
              </w:rPr>
              <w:t>skazano</w:t>
            </w:r>
            <w:r w:rsidR="00373C53" w:rsidRPr="006F6473">
              <w:rPr>
                <w:rFonts w:ascii="Times New Roman" w:eastAsia="MS Mincho" w:hAnsi="Times New Roman"/>
                <w:iCs/>
                <w:sz w:val="20"/>
                <w:szCs w:val="20"/>
              </w:rPr>
              <w:t xml:space="preserve">, że </w:t>
            </w:r>
            <w:r w:rsidR="005D2A95" w:rsidRPr="006F6473">
              <w:rPr>
                <w:rFonts w:ascii="Times New Roman" w:eastAsia="MS Mincho" w:hAnsi="Times New Roman"/>
                <w:iCs/>
                <w:sz w:val="20"/>
                <w:szCs w:val="20"/>
              </w:rPr>
              <w:t>nie ma konieczności</w:t>
            </w:r>
            <w:r w:rsidR="00EA34C5" w:rsidRPr="006F6473">
              <w:rPr>
                <w:rFonts w:ascii="Times New Roman" w:eastAsia="MS Mincho" w:hAnsi="Times New Roman"/>
                <w:iCs/>
                <w:sz w:val="20"/>
                <w:szCs w:val="20"/>
              </w:rPr>
              <w:t xml:space="preserve"> określania</w:t>
            </w:r>
            <w:r w:rsidR="005D2A95" w:rsidRPr="006F6473">
              <w:rPr>
                <w:rFonts w:ascii="Times New Roman" w:eastAsia="MS Mincho" w:hAnsi="Times New Roman"/>
                <w:iCs/>
                <w:sz w:val="20"/>
                <w:szCs w:val="20"/>
              </w:rPr>
              <w:t xml:space="preserve"> w przepisach konkretnych działań, które może podjąć podmiot prowadzący rejestr </w:t>
            </w:r>
            <w:r w:rsidR="00D52467" w:rsidRPr="006F6473">
              <w:rPr>
                <w:rFonts w:ascii="Times New Roman" w:eastAsia="MS Mincho" w:hAnsi="Times New Roman"/>
                <w:iCs/>
                <w:sz w:val="20"/>
                <w:szCs w:val="20"/>
              </w:rPr>
              <w:t>w celu wyjaśnienia</w:t>
            </w:r>
            <w:r w:rsidR="005D2A95" w:rsidRPr="006F6473">
              <w:rPr>
                <w:rFonts w:ascii="Times New Roman" w:eastAsia="MS Mincho" w:hAnsi="Times New Roman"/>
                <w:iCs/>
                <w:sz w:val="20"/>
                <w:szCs w:val="20"/>
              </w:rPr>
              <w:t xml:space="preserve"> </w:t>
            </w:r>
            <w:r w:rsidR="00051695" w:rsidRPr="006F6473">
              <w:rPr>
                <w:rFonts w:ascii="Times New Roman" w:eastAsia="MS Mincho" w:hAnsi="Times New Roman"/>
                <w:iCs/>
                <w:sz w:val="20"/>
                <w:szCs w:val="20"/>
              </w:rPr>
              <w:t>powzię</w:t>
            </w:r>
            <w:r w:rsidR="00D52467" w:rsidRPr="006F6473">
              <w:rPr>
                <w:rFonts w:ascii="Times New Roman" w:eastAsia="MS Mincho" w:hAnsi="Times New Roman"/>
                <w:iCs/>
                <w:sz w:val="20"/>
                <w:szCs w:val="20"/>
              </w:rPr>
              <w:t>tych</w:t>
            </w:r>
            <w:r w:rsidR="005D2A95" w:rsidRPr="006F6473">
              <w:rPr>
                <w:rFonts w:ascii="Times New Roman" w:eastAsia="MS Mincho" w:hAnsi="Times New Roman"/>
                <w:iCs/>
                <w:sz w:val="20"/>
                <w:szCs w:val="20"/>
              </w:rPr>
              <w:t xml:space="preserve"> wątpliwości</w:t>
            </w:r>
            <w:r w:rsidR="00D52467" w:rsidRPr="006F6473">
              <w:rPr>
                <w:rFonts w:ascii="Times New Roman" w:eastAsia="MS Mincho" w:hAnsi="Times New Roman"/>
                <w:iCs/>
                <w:sz w:val="20"/>
                <w:szCs w:val="20"/>
              </w:rPr>
              <w:t xml:space="preserve"> co do prawdziwości przedstawionych dokumentów</w:t>
            </w:r>
            <w:r w:rsidR="005D2A95" w:rsidRPr="006F6473">
              <w:rPr>
                <w:rFonts w:ascii="Times New Roman" w:eastAsia="MS Mincho" w:hAnsi="Times New Roman"/>
                <w:iCs/>
                <w:sz w:val="20"/>
                <w:szCs w:val="20"/>
              </w:rPr>
              <w:t xml:space="preserve">. </w:t>
            </w:r>
            <w:r w:rsidR="00051695" w:rsidRPr="006F6473">
              <w:rPr>
                <w:rFonts w:ascii="Times New Roman" w:eastAsia="MS Mincho" w:hAnsi="Times New Roman"/>
                <w:iCs/>
                <w:sz w:val="20"/>
                <w:szCs w:val="20"/>
              </w:rPr>
              <w:t xml:space="preserve">Decyzja w tym zakresie pozostawiona jest podmiotowi </w:t>
            </w:r>
            <w:r w:rsidR="009B6878" w:rsidRPr="006F6473">
              <w:rPr>
                <w:rFonts w:ascii="Times New Roman" w:eastAsia="MS Mincho" w:hAnsi="Times New Roman"/>
                <w:iCs/>
                <w:sz w:val="20"/>
                <w:szCs w:val="20"/>
              </w:rPr>
              <w:t xml:space="preserve">prowadzącemu rejestr, </w:t>
            </w:r>
            <w:r w:rsidR="00051695" w:rsidRPr="006F6473">
              <w:rPr>
                <w:rFonts w:ascii="Times New Roman" w:eastAsia="MS Mincho" w:hAnsi="Times New Roman"/>
                <w:iCs/>
                <w:sz w:val="20"/>
                <w:szCs w:val="20"/>
              </w:rPr>
              <w:t xml:space="preserve">stosownie do okoliczności, źródła i natury wątpliwości. W praktyce </w:t>
            </w:r>
            <w:r w:rsidR="00EA34C5" w:rsidRPr="006F6473">
              <w:rPr>
                <w:rFonts w:ascii="Times New Roman" w:eastAsia="MS Mincho" w:hAnsi="Times New Roman"/>
                <w:iCs/>
                <w:sz w:val="20"/>
                <w:szCs w:val="20"/>
              </w:rPr>
              <w:t>można</w:t>
            </w:r>
            <w:r w:rsidR="009B6878" w:rsidRPr="006F6473">
              <w:rPr>
                <w:rFonts w:ascii="Times New Roman" w:eastAsia="MS Mincho" w:hAnsi="Times New Roman"/>
                <w:iCs/>
                <w:sz w:val="20"/>
                <w:szCs w:val="20"/>
              </w:rPr>
              <w:t xml:space="preserve"> oczekiwać, że </w:t>
            </w:r>
            <w:r w:rsidRPr="006F6473">
              <w:rPr>
                <w:rFonts w:ascii="Times New Roman" w:eastAsia="MS Mincho" w:hAnsi="Times New Roman"/>
                <w:iCs/>
                <w:sz w:val="20"/>
                <w:szCs w:val="20"/>
              </w:rPr>
              <w:t xml:space="preserve"> podmiot prowadzący rejestr będzie </w:t>
            </w:r>
            <w:r w:rsidR="009B6878" w:rsidRPr="006F6473">
              <w:rPr>
                <w:rFonts w:ascii="Times New Roman" w:eastAsia="MS Mincho" w:hAnsi="Times New Roman"/>
                <w:iCs/>
                <w:sz w:val="20"/>
                <w:szCs w:val="20"/>
              </w:rPr>
              <w:t>przede wszystkim zwracał się o przedstawienie</w:t>
            </w:r>
            <w:r w:rsidR="003E3B5D" w:rsidRPr="006F6473">
              <w:rPr>
                <w:rFonts w:ascii="Times New Roman" w:eastAsia="MS Mincho" w:hAnsi="Times New Roman"/>
                <w:iCs/>
                <w:sz w:val="20"/>
                <w:szCs w:val="20"/>
              </w:rPr>
              <w:t xml:space="preserve"> stanowiska / udzielenie</w:t>
            </w:r>
            <w:r w:rsidR="009B6878" w:rsidRPr="006F6473">
              <w:rPr>
                <w:rFonts w:ascii="Times New Roman" w:eastAsia="MS Mincho" w:hAnsi="Times New Roman"/>
                <w:iCs/>
                <w:sz w:val="20"/>
                <w:szCs w:val="20"/>
              </w:rPr>
              <w:t xml:space="preserve"> informacji przez </w:t>
            </w:r>
            <w:r w:rsidR="003E3B5D" w:rsidRPr="006F6473">
              <w:rPr>
                <w:rFonts w:ascii="Times New Roman" w:eastAsia="MS Mincho" w:hAnsi="Times New Roman"/>
                <w:iCs/>
                <w:sz w:val="20"/>
                <w:szCs w:val="20"/>
              </w:rPr>
              <w:t>spółkę</w:t>
            </w:r>
            <w:r w:rsidRPr="006F6473">
              <w:rPr>
                <w:rFonts w:ascii="Times New Roman" w:eastAsia="MS Mincho" w:hAnsi="Times New Roman"/>
                <w:iCs/>
                <w:sz w:val="20"/>
                <w:szCs w:val="20"/>
              </w:rPr>
              <w:t xml:space="preserve"> jako emitenta, który jest swoistym gospodarzem rejestru.</w:t>
            </w:r>
          </w:p>
          <w:p w:rsidR="009A3F9B" w:rsidRPr="006F6473" w:rsidRDefault="009F5F17" w:rsidP="00ED613F">
            <w:pPr>
              <w:jc w:val="both"/>
              <w:rPr>
                <w:rFonts w:ascii="Times New Roman" w:eastAsia="MS Mincho" w:hAnsi="Times New Roman"/>
                <w:iCs/>
                <w:sz w:val="20"/>
                <w:szCs w:val="20"/>
              </w:rPr>
            </w:pPr>
            <w:r w:rsidRPr="006F6473">
              <w:rPr>
                <w:rFonts w:ascii="Times New Roman" w:eastAsia="MS Mincho" w:hAnsi="Times New Roman"/>
                <w:iCs/>
                <w:sz w:val="20"/>
                <w:szCs w:val="20"/>
              </w:rPr>
              <w:t>Jednocześnie</w:t>
            </w:r>
            <w:r w:rsidR="00D52467" w:rsidRPr="006F6473">
              <w:rPr>
                <w:rFonts w:ascii="Times New Roman" w:eastAsia="MS Mincho" w:hAnsi="Times New Roman"/>
                <w:iCs/>
                <w:sz w:val="20"/>
                <w:szCs w:val="20"/>
              </w:rPr>
              <w:t xml:space="preserve">, uwzględniając inny aspekt zgłoszonej uwagi, dodano przepis (nowy </w:t>
            </w:r>
            <w:r w:rsidR="00E22EAF" w:rsidRPr="006F6473">
              <w:rPr>
                <w:rFonts w:ascii="Times New Roman" w:eastAsia="MS Mincho" w:hAnsi="Times New Roman"/>
                <w:iCs/>
                <w:sz w:val="20"/>
                <w:szCs w:val="20"/>
              </w:rPr>
              <w:t>§ 5</w:t>
            </w:r>
            <w:r w:rsidR="00206696" w:rsidRPr="006F6473">
              <w:rPr>
                <w:rFonts w:ascii="Times New Roman" w:eastAsia="MS Mincho" w:hAnsi="Times New Roman"/>
                <w:iCs/>
                <w:sz w:val="20"/>
                <w:szCs w:val="20"/>
              </w:rPr>
              <w:t xml:space="preserve">), </w:t>
            </w:r>
            <w:r w:rsidR="00BB116A" w:rsidRPr="006F6473">
              <w:rPr>
                <w:rFonts w:ascii="Times New Roman" w:eastAsia="MS Mincho" w:hAnsi="Times New Roman"/>
                <w:iCs/>
                <w:sz w:val="20"/>
                <w:szCs w:val="20"/>
              </w:rPr>
              <w:t>który wskazuje, że w przypadku, gdy podmiot prowadzący rejest</w:t>
            </w:r>
            <w:r w:rsidR="009B1604" w:rsidRPr="006F6473">
              <w:rPr>
                <w:rFonts w:ascii="Times New Roman" w:eastAsia="MS Mincho" w:hAnsi="Times New Roman"/>
                <w:iCs/>
                <w:sz w:val="20"/>
                <w:szCs w:val="20"/>
              </w:rPr>
              <w:t>r – czy to w związku z nieprzedłożeniem odpowiedniego dokumentu, który może stanowić podstawę wpisu</w:t>
            </w:r>
            <w:r w:rsidR="00206696" w:rsidRPr="006F6473">
              <w:rPr>
                <w:rFonts w:ascii="Times New Roman" w:eastAsia="MS Mincho" w:hAnsi="Times New Roman"/>
                <w:iCs/>
                <w:sz w:val="20"/>
                <w:szCs w:val="20"/>
              </w:rPr>
              <w:t xml:space="preserve"> czy to z powodu </w:t>
            </w:r>
            <w:r w:rsidR="009B1604" w:rsidRPr="006F6473">
              <w:rPr>
                <w:rFonts w:ascii="Times New Roman" w:eastAsia="MS Mincho" w:hAnsi="Times New Roman"/>
                <w:iCs/>
                <w:sz w:val="20"/>
                <w:szCs w:val="20"/>
              </w:rPr>
              <w:t xml:space="preserve">wątpliwości co do prawdziwości przedstawionych dokumentów, których nie udało się </w:t>
            </w:r>
            <w:r w:rsidR="00867CF5" w:rsidRPr="006F6473">
              <w:rPr>
                <w:rFonts w:ascii="Times New Roman" w:eastAsia="MS Mincho" w:hAnsi="Times New Roman"/>
                <w:iCs/>
                <w:sz w:val="20"/>
                <w:szCs w:val="20"/>
              </w:rPr>
              <w:t>wyjaśnić – nie dokonał żądanego wpisu, ma obowiązek powiadomić o tym osobę</w:t>
            </w:r>
            <w:r w:rsidR="006E7F0B" w:rsidRPr="006F6473">
              <w:rPr>
                <w:rFonts w:ascii="Times New Roman" w:eastAsia="MS Mincho" w:hAnsi="Times New Roman"/>
                <w:iCs/>
                <w:sz w:val="20"/>
                <w:szCs w:val="20"/>
              </w:rPr>
              <w:t xml:space="preserve"> żądającą</w:t>
            </w:r>
            <w:r w:rsidR="00867CF5" w:rsidRPr="006F6473">
              <w:rPr>
                <w:rFonts w:ascii="Times New Roman" w:eastAsia="MS Mincho" w:hAnsi="Times New Roman"/>
                <w:iCs/>
                <w:sz w:val="20"/>
                <w:szCs w:val="20"/>
              </w:rPr>
              <w:t xml:space="preserve"> w</w:t>
            </w:r>
            <w:r w:rsidR="006E7F0B" w:rsidRPr="006F6473">
              <w:rPr>
                <w:rFonts w:ascii="Times New Roman" w:eastAsia="MS Mincho" w:hAnsi="Times New Roman"/>
                <w:iCs/>
                <w:sz w:val="20"/>
                <w:szCs w:val="20"/>
              </w:rPr>
              <w:t>pisu</w:t>
            </w:r>
            <w:r w:rsidR="00867CF5" w:rsidRPr="006F6473">
              <w:rPr>
                <w:rFonts w:ascii="Times New Roman" w:eastAsia="MS Mincho" w:hAnsi="Times New Roman"/>
                <w:iCs/>
                <w:sz w:val="20"/>
                <w:szCs w:val="20"/>
              </w:rPr>
              <w:t>, wskazują</w:t>
            </w:r>
            <w:r w:rsidR="00206696" w:rsidRPr="006F6473">
              <w:rPr>
                <w:rFonts w:ascii="Times New Roman" w:eastAsia="MS Mincho" w:hAnsi="Times New Roman"/>
                <w:iCs/>
                <w:sz w:val="20"/>
                <w:szCs w:val="20"/>
              </w:rPr>
              <w:t>c</w:t>
            </w:r>
            <w:r w:rsidR="00867CF5" w:rsidRPr="006F6473">
              <w:rPr>
                <w:rFonts w:ascii="Times New Roman" w:eastAsia="MS Mincho" w:hAnsi="Times New Roman"/>
                <w:iCs/>
                <w:sz w:val="20"/>
                <w:szCs w:val="20"/>
              </w:rPr>
              <w:t xml:space="preserve"> przyczyny </w:t>
            </w:r>
            <w:r w:rsidR="00206696" w:rsidRPr="006F6473">
              <w:rPr>
                <w:rFonts w:ascii="Times New Roman" w:eastAsia="MS Mincho" w:hAnsi="Times New Roman"/>
                <w:iCs/>
                <w:sz w:val="20"/>
                <w:szCs w:val="20"/>
              </w:rPr>
              <w:t>braku wpisu (do przepisu tego przeniesiono także</w:t>
            </w:r>
            <w:r w:rsidR="00224B6A" w:rsidRPr="006F6473">
              <w:rPr>
                <w:rFonts w:ascii="Times New Roman" w:eastAsia="MS Mincho" w:hAnsi="Times New Roman"/>
                <w:iCs/>
                <w:sz w:val="20"/>
                <w:szCs w:val="20"/>
              </w:rPr>
              <w:t xml:space="preserve"> </w:t>
            </w:r>
            <w:r w:rsidR="00206696" w:rsidRPr="006F6473">
              <w:rPr>
                <w:rFonts w:ascii="Times New Roman" w:eastAsia="MS Mincho" w:hAnsi="Times New Roman"/>
                <w:iCs/>
                <w:sz w:val="20"/>
                <w:szCs w:val="20"/>
              </w:rPr>
              <w:t xml:space="preserve">zdanie drugie z </w:t>
            </w:r>
            <w:r w:rsidR="00224B6A" w:rsidRPr="006F6473">
              <w:rPr>
                <w:rFonts w:ascii="Times New Roman" w:eastAsia="MS Mincho" w:hAnsi="Times New Roman"/>
                <w:iCs/>
                <w:sz w:val="20"/>
                <w:szCs w:val="20"/>
              </w:rPr>
              <w:t>dotychczasowego</w:t>
            </w:r>
            <w:r w:rsidR="00206696" w:rsidRPr="006F6473">
              <w:rPr>
                <w:rFonts w:ascii="Times New Roman" w:eastAsia="MS Mincho" w:hAnsi="Times New Roman"/>
                <w:iCs/>
                <w:sz w:val="20"/>
                <w:szCs w:val="20"/>
              </w:rPr>
              <w:t xml:space="preserve"> § 2</w:t>
            </w:r>
            <w:r w:rsidR="00224B6A" w:rsidRPr="006F6473">
              <w:rPr>
                <w:rFonts w:ascii="Times New Roman" w:eastAsia="MS Mincho" w:hAnsi="Times New Roman"/>
                <w:iCs/>
                <w:sz w:val="20"/>
                <w:szCs w:val="20"/>
              </w:rPr>
              <w:t xml:space="preserve">, tak </w:t>
            </w:r>
            <w:r w:rsidR="006E7F0B" w:rsidRPr="006F6473">
              <w:rPr>
                <w:rFonts w:ascii="Times New Roman" w:eastAsia="MS Mincho" w:hAnsi="Times New Roman"/>
                <w:iCs/>
                <w:sz w:val="20"/>
                <w:szCs w:val="20"/>
              </w:rPr>
              <w:t>a</w:t>
            </w:r>
            <w:r w:rsidR="00224B6A" w:rsidRPr="006F6473">
              <w:rPr>
                <w:rFonts w:ascii="Times New Roman" w:eastAsia="MS Mincho" w:hAnsi="Times New Roman"/>
                <w:iCs/>
                <w:sz w:val="20"/>
                <w:szCs w:val="20"/>
              </w:rPr>
              <w:t>by cały projektowany art. 328</w:t>
            </w:r>
            <w:r w:rsidR="00224B6A" w:rsidRPr="006F6473">
              <w:rPr>
                <w:rFonts w:ascii="Times New Roman" w:eastAsia="MS Mincho" w:hAnsi="Times New Roman"/>
                <w:iCs/>
                <w:sz w:val="20"/>
                <w:szCs w:val="20"/>
                <w:vertAlign w:val="superscript"/>
              </w:rPr>
              <w:t xml:space="preserve">4 </w:t>
            </w:r>
            <w:proofErr w:type="spellStart"/>
            <w:r w:rsidR="00224B6A" w:rsidRPr="006F6473">
              <w:rPr>
                <w:rFonts w:ascii="Times New Roman" w:eastAsia="MS Mincho" w:hAnsi="Times New Roman"/>
                <w:iCs/>
                <w:sz w:val="20"/>
                <w:szCs w:val="20"/>
              </w:rPr>
              <w:t>k.s.h</w:t>
            </w:r>
            <w:proofErr w:type="spellEnd"/>
            <w:r w:rsidR="00224B6A" w:rsidRPr="006F6473">
              <w:rPr>
                <w:rFonts w:ascii="Times New Roman" w:eastAsia="MS Mincho" w:hAnsi="Times New Roman"/>
                <w:iCs/>
                <w:sz w:val="20"/>
                <w:szCs w:val="20"/>
              </w:rPr>
              <w:t xml:space="preserve">. tworzył </w:t>
            </w:r>
            <w:r w:rsidR="00AA243F" w:rsidRPr="006F6473">
              <w:rPr>
                <w:rFonts w:ascii="Times New Roman" w:eastAsia="MS Mincho" w:hAnsi="Times New Roman"/>
                <w:iCs/>
                <w:sz w:val="20"/>
                <w:szCs w:val="20"/>
              </w:rPr>
              <w:t xml:space="preserve">spójną  logiczną </w:t>
            </w:r>
            <w:r w:rsidR="00224B6A" w:rsidRPr="006F6473">
              <w:rPr>
                <w:rFonts w:ascii="Times New Roman" w:eastAsia="MS Mincho" w:hAnsi="Times New Roman"/>
                <w:iCs/>
                <w:sz w:val="20"/>
                <w:szCs w:val="20"/>
              </w:rPr>
              <w:t>całość</w:t>
            </w:r>
            <w:r w:rsidR="00AA243F" w:rsidRPr="006F6473">
              <w:rPr>
                <w:rFonts w:ascii="Times New Roman" w:eastAsia="MS Mincho" w:hAnsi="Times New Roman"/>
                <w:iCs/>
                <w:sz w:val="20"/>
                <w:szCs w:val="20"/>
              </w:rPr>
              <w:t>).</w:t>
            </w:r>
            <w:r w:rsidR="004B07A3" w:rsidRPr="006F6473">
              <w:rPr>
                <w:rFonts w:ascii="Times New Roman" w:eastAsia="MS Mincho" w:hAnsi="Times New Roman"/>
                <w:iCs/>
                <w:sz w:val="20"/>
                <w:szCs w:val="20"/>
              </w:rPr>
              <w:t xml:space="preserve"> </w:t>
            </w:r>
          </w:p>
          <w:p w:rsidR="00211246" w:rsidRPr="006F6473" w:rsidRDefault="00211246" w:rsidP="00FF7DB6">
            <w:pPr>
              <w:jc w:val="both"/>
              <w:rPr>
                <w:rFonts w:ascii="Times New Roman" w:eastAsia="MS Mincho" w:hAnsi="Times New Roman"/>
                <w:iCs/>
                <w:sz w:val="20"/>
                <w:szCs w:val="20"/>
              </w:rPr>
            </w:pPr>
          </w:p>
          <w:p w:rsidR="00FF491E" w:rsidRPr="006F6473" w:rsidRDefault="00FF7DB6" w:rsidP="00217BAE">
            <w:pPr>
              <w:jc w:val="both"/>
              <w:rPr>
                <w:rFonts w:ascii="Times New Roman" w:eastAsia="MS Mincho" w:hAnsi="Times New Roman"/>
                <w:iCs/>
                <w:sz w:val="20"/>
                <w:szCs w:val="20"/>
              </w:rPr>
            </w:pPr>
            <w:r w:rsidRPr="006F6473">
              <w:rPr>
                <w:rFonts w:ascii="Times New Roman" w:eastAsia="MS Mincho" w:hAnsi="Times New Roman"/>
                <w:iCs/>
                <w:sz w:val="20"/>
                <w:szCs w:val="20"/>
              </w:rPr>
              <w:t xml:space="preserve">Uwaga została uwzględniona: </w:t>
            </w:r>
            <w:r w:rsidR="00217BAE" w:rsidRPr="006F6473">
              <w:rPr>
                <w:rFonts w:ascii="Times New Roman" w:eastAsia="MS Mincho" w:hAnsi="Times New Roman"/>
                <w:iCs/>
                <w:sz w:val="20"/>
                <w:szCs w:val="20"/>
              </w:rPr>
              <w:t>dotychczasowy</w:t>
            </w:r>
            <w:r w:rsidRPr="006F6473">
              <w:rPr>
                <w:rFonts w:ascii="Times New Roman" w:eastAsia="MS Mincho" w:hAnsi="Times New Roman"/>
                <w:iCs/>
                <w:sz w:val="20"/>
                <w:szCs w:val="20"/>
              </w:rPr>
              <w:t xml:space="preserve"> § 4 zostanie wykreślony. </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14.</w:t>
            </w:r>
          </w:p>
        </w:tc>
        <w:tc>
          <w:tcPr>
            <w:tcW w:w="2127" w:type="dxa"/>
            <w:vMerge w:val="restart"/>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lastRenderedPageBreak/>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5</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before="200" w:after="200" w:line="276" w:lineRule="auto"/>
              <w:jc w:val="center"/>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proofErr w:type="spellStart"/>
            <w:r w:rsidRPr="00ED613F">
              <w:rPr>
                <w:rFonts w:ascii="Times New Roman" w:eastAsia="MS Mincho" w:hAnsi="Times New Roman"/>
                <w:b/>
                <w:sz w:val="20"/>
                <w:szCs w:val="20"/>
              </w:rPr>
              <w:lastRenderedPageBreak/>
              <w:t>MRiRW</w:t>
            </w:r>
            <w:proofErr w:type="spellEnd"/>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 xml:space="preserve">Z uwagi na fakt, że projektowaną ustawą zostanie wprowadzone „świadectwo rejestrowe”, które nie funkcjonowało wcześniej w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xml:space="preserve">. </w:t>
            </w:r>
            <w:r w:rsidRPr="00ED613F">
              <w:rPr>
                <w:rFonts w:ascii="Times New Roman" w:hAnsi="Times New Roman"/>
                <w:sz w:val="20"/>
                <w:szCs w:val="20"/>
              </w:rPr>
              <w:lastRenderedPageBreak/>
              <w:t>oraz to, że inne ustawy (m.in. ustawa o europejskim zgrupowaniu interesów gospodarczych i spółce europejskiej) również będą odnosić się do tego określenia, analizy wymaga możliwość zdefiniowania „świadectwa rejestrowego” (np. przez przeredagowanie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4 w następujący sposób: „Świadectwo rejestrowe stanowi dokument potwierdzający uprawnienia wynikające z akcji, które nie mogą być realizowane wyłącznie na podstawie zapisów w rejestrze akcjonariuszy.”), a następnie zamianę kolejności paragrafów, w celu umieszczenia zdefiniowanego określenia w § 1 lub 2 art. 328</w:t>
            </w:r>
            <w:r w:rsidRPr="00ED613F">
              <w:rPr>
                <w:rFonts w:ascii="Times New Roman" w:hAnsi="Times New Roman"/>
                <w:sz w:val="20"/>
                <w:szCs w:val="20"/>
                <w:vertAlign w:val="superscript"/>
              </w:rPr>
              <w:t xml:space="preserve">5 </w:t>
            </w:r>
            <w:r w:rsidRPr="00ED613F">
              <w:rPr>
                <w:rFonts w:ascii="Times New Roman" w:hAnsi="Times New Roman"/>
                <w:sz w:val="20"/>
                <w:szCs w:val="20"/>
              </w:rPr>
              <w:t>.</w:t>
            </w:r>
          </w:p>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W projektowanym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5 pkt 9 wskazano, że świadectwo rejestrowe zawiera termin ważności. Należy zauważyć, że w projekcie brak jest jednak przepisu określającego termin ważności świadectwa rejestrowego bądź regulacji wskazujących na tryb ustalania tego terminu.</w:t>
            </w:r>
          </w:p>
        </w:tc>
        <w:tc>
          <w:tcPr>
            <w:tcW w:w="5436" w:type="dxa"/>
          </w:tcPr>
          <w:p w:rsidR="00FF491E" w:rsidRPr="006F6473" w:rsidRDefault="00B4312D" w:rsidP="00B4312D">
            <w:pPr>
              <w:jc w:val="both"/>
              <w:rPr>
                <w:rFonts w:ascii="Times New Roman" w:eastAsia="MS Mincho" w:hAnsi="Times New Roman"/>
                <w:sz w:val="20"/>
                <w:szCs w:val="20"/>
              </w:rPr>
            </w:pPr>
            <w:r w:rsidRPr="006F6473">
              <w:rPr>
                <w:rFonts w:ascii="Times New Roman" w:eastAsia="MS Mincho" w:hAnsi="Times New Roman"/>
                <w:sz w:val="20"/>
                <w:szCs w:val="20"/>
              </w:rPr>
              <w:lastRenderedPageBreak/>
              <w:t xml:space="preserve">Wyjaśniono, że praktyka dotycząca świadectw depozytowych, na których wzorowane jest świadectwo udziałowe, nie </w:t>
            </w:r>
            <w:r w:rsidRPr="006F6473">
              <w:rPr>
                <w:rFonts w:ascii="Times New Roman" w:eastAsia="MS Mincho" w:hAnsi="Times New Roman"/>
                <w:sz w:val="20"/>
                <w:szCs w:val="20"/>
              </w:rPr>
              <w:lastRenderedPageBreak/>
              <w:t>potwierdza potrzeby odrębnego definiowania świadectwa rejestrowego.</w:t>
            </w:r>
          </w:p>
          <w:p w:rsidR="00B4312D" w:rsidRPr="006F6473" w:rsidRDefault="00B4312D" w:rsidP="00B4312D">
            <w:pPr>
              <w:jc w:val="both"/>
              <w:rPr>
                <w:rFonts w:ascii="Times New Roman" w:eastAsia="MS Mincho" w:hAnsi="Times New Roman"/>
                <w:sz w:val="20"/>
                <w:szCs w:val="20"/>
              </w:rPr>
            </w:pPr>
            <w:r w:rsidRPr="006F6473">
              <w:rPr>
                <w:rFonts w:ascii="Times New Roman" w:eastAsia="MS Mincho" w:hAnsi="Times New Roman"/>
                <w:sz w:val="20"/>
                <w:szCs w:val="20"/>
              </w:rPr>
              <w:t xml:space="preserve">Jednocześnie ustalono, że </w:t>
            </w:r>
            <w:r w:rsidR="00E2671C" w:rsidRPr="006F6473">
              <w:rPr>
                <w:rFonts w:ascii="Times New Roman" w:eastAsia="MS Mincho" w:hAnsi="Times New Roman"/>
                <w:sz w:val="20"/>
                <w:szCs w:val="20"/>
              </w:rPr>
              <w:t xml:space="preserve">aby istota świadectwa udziałowego </w:t>
            </w:r>
            <w:r w:rsidR="00767BC3" w:rsidRPr="006F6473">
              <w:rPr>
                <w:rFonts w:ascii="Times New Roman" w:eastAsia="MS Mincho" w:hAnsi="Times New Roman"/>
                <w:sz w:val="20"/>
                <w:szCs w:val="20"/>
              </w:rPr>
              <w:t xml:space="preserve">stała się bardziej „widoczna” i czytelna, </w:t>
            </w:r>
            <w:r w:rsidR="00E2671C" w:rsidRPr="006F6473">
              <w:rPr>
                <w:rFonts w:ascii="Times New Roman" w:eastAsia="MS Mincho" w:hAnsi="Times New Roman"/>
                <w:sz w:val="20"/>
                <w:szCs w:val="20"/>
              </w:rPr>
              <w:t xml:space="preserve">projektowany § 4 zostanie </w:t>
            </w:r>
            <w:r w:rsidR="00767BC3" w:rsidRPr="006F6473">
              <w:rPr>
                <w:rFonts w:ascii="Times New Roman" w:eastAsia="MS Mincho" w:hAnsi="Times New Roman"/>
                <w:sz w:val="20"/>
                <w:szCs w:val="20"/>
              </w:rPr>
              <w:t xml:space="preserve">umiejscowiony bezpośrednio po § 1 </w:t>
            </w:r>
            <w:r w:rsidR="0035386C" w:rsidRPr="006F6473">
              <w:rPr>
                <w:rFonts w:ascii="Times New Roman" w:eastAsia="MS Mincho" w:hAnsi="Times New Roman"/>
                <w:sz w:val="20"/>
                <w:szCs w:val="20"/>
              </w:rPr>
              <w:t xml:space="preserve">i </w:t>
            </w:r>
            <w:r w:rsidR="00767BC3" w:rsidRPr="006F6473">
              <w:rPr>
                <w:rFonts w:ascii="Times New Roman" w:eastAsia="MS Mincho" w:hAnsi="Times New Roman"/>
                <w:sz w:val="20"/>
                <w:szCs w:val="20"/>
              </w:rPr>
              <w:t xml:space="preserve">oznaczony </w:t>
            </w:r>
            <w:r w:rsidR="00E2671C" w:rsidRPr="006F6473">
              <w:rPr>
                <w:rFonts w:ascii="Times New Roman" w:eastAsia="MS Mincho" w:hAnsi="Times New Roman"/>
                <w:sz w:val="20"/>
                <w:szCs w:val="20"/>
              </w:rPr>
              <w:t>jako § 2</w:t>
            </w:r>
            <w:r w:rsidR="00767BC3" w:rsidRPr="006F6473">
              <w:rPr>
                <w:rFonts w:ascii="Times New Roman" w:eastAsia="MS Mincho" w:hAnsi="Times New Roman"/>
                <w:sz w:val="20"/>
                <w:szCs w:val="20"/>
              </w:rPr>
              <w:t>.</w:t>
            </w:r>
          </w:p>
          <w:p w:rsidR="00B4312D" w:rsidRPr="006F6473" w:rsidRDefault="00B4312D" w:rsidP="00B4312D">
            <w:pPr>
              <w:spacing w:line="276" w:lineRule="auto"/>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15.</w:t>
            </w:r>
          </w:p>
        </w:tc>
        <w:tc>
          <w:tcPr>
            <w:tcW w:w="2127" w:type="dxa"/>
            <w:vMerge/>
          </w:tcPr>
          <w:p w:rsidR="00FF491E" w:rsidRPr="00ED613F" w:rsidRDefault="00FF491E" w:rsidP="00ED613F">
            <w:pPr>
              <w:spacing w:line="276" w:lineRule="auto"/>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MC</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Wątpliwości budzi regulacja odnosząca się do formy imiennego świadectwa rejestrowego (świadectwa rejestrowego). Z projektowanego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5 pkt 10 wynika, że elementem konstruktywnym tego świadectwa jest podpis osoby upoważnionej do wystawienia w imieniu wystawiającego świadectwa rejestrowego. Powyższe oznacza, że świadectwo rejestrowe może być wydane zarówno z zachowaniem formy pisemnej, jak i formy elektronicznej, w rozumieniu przepisów K.c. Niezachowanie któregokolwiek z wymogów świadectwa określonych w § 5, w tym niedołączenie ww. podpisu powoduje nieważność, zatem jak należy wnioskować, forma świadectwa została zastrzeżona pod rygorem nieważności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6). Jednocześnie projektowany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7 przewiduje możliwość wystawienia świadectwa rejestrowego przy zachowaniu formy dokumentowej określonej w art. 77</w:t>
            </w:r>
            <w:r w:rsidRPr="00ED613F">
              <w:rPr>
                <w:rFonts w:ascii="Times New Roman" w:hAnsi="Times New Roman"/>
                <w:sz w:val="20"/>
                <w:szCs w:val="20"/>
                <w:vertAlign w:val="superscript"/>
              </w:rPr>
              <w:t>2</w:t>
            </w:r>
            <w:r w:rsidRPr="00ED613F">
              <w:rPr>
                <w:rFonts w:ascii="Times New Roman" w:hAnsi="Times New Roman"/>
                <w:sz w:val="20"/>
                <w:szCs w:val="20"/>
              </w:rPr>
              <w:t xml:space="preserve"> K.c., która nie wymaga opatrzenia dokumentu podpisem, czy to własnoręcznym, czy też elektronicznym.</w:t>
            </w:r>
          </w:p>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Rozwiązanie zaproponowane w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7, odnoszące się do możliwości wystawienia świadectwa rejestrowego w formie dokumentowej powoduje bezprzedmiotowość zastrzegania rygoru nieważności w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6, a nawet sprzeczność wprowadzanego rozwiązania, dlatego proponuje się zrezygnować z projektowanego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 7.</w:t>
            </w:r>
          </w:p>
          <w:p w:rsidR="00FF491E" w:rsidRPr="00ED613F" w:rsidRDefault="00FF491E" w:rsidP="00ED613F">
            <w:pPr>
              <w:jc w:val="both"/>
              <w:rPr>
                <w:rFonts w:ascii="Times New Roman" w:hAnsi="Times New Roman"/>
                <w:sz w:val="20"/>
                <w:szCs w:val="20"/>
              </w:rPr>
            </w:pPr>
          </w:p>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Równocześnie, zarówno w przypadku imiennego świadectwa rejestrowego (art. 328</w:t>
            </w:r>
            <w:r w:rsidRPr="00ED613F">
              <w:rPr>
                <w:rFonts w:ascii="Times New Roman" w:hAnsi="Times New Roman"/>
                <w:sz w:val="20"/>
                <w:szCs w:val="20"/>
                <w:vertAlign w:val="superscript"/>
              </w:rPr>
              <w:t>5</w:t>
            </w:r>
            <w:r w:rsidRPr="00ED613F">
              <w:rPr>
                <w:rFonts w:ascii="Times New Roman" w:hAnsi="Times New Roman"/>
                <w:sz w:val="20"/>
                <w:szCs w:val="20"/>
              </w:rPr>
              <w:t>), jak i imiennego zaświadczenia o prawie uczestnictwa w walnym zgromadzeniu (art. 406</w:t>
            </w:r>
            <w:r w:rsidRPr="00ED613F">
              <w:rPr>
                <w:rFonts w:ascii="Times New Roman" w:hAnsi="Times New Roman"/>
                <w:sz w:val="20"/>
                <w:szCs w:val="20"/>
                <w:vertAlign w:val="superscript"/>
              </w:rPr>
              <w:t>3</w:t>
            </w:r>
            <w:r w:rsidRPr="00ED613F">
              <w:rPr>
                <w:rFonts w:ascii="Times New Roman" w:hAnsi="Times New Roman"/>
                <w:sz w:val="20"/>
                <w:szCs w:val="20"/>
              </w:rPr>
              <w:t xml:space="preserve">) proponuje się wskazanie, że dokumenty te mogą być wystawione zarówno w postaci papierowej, jak i w postaci elektronicznej. Tym bardziej, że rejestr akcjonariuszy, w którym będą rejestrowane akcje zdematerializowane zawierać ma także adres poczty elektronicznej, na który miałaby się </w:t>
            </w:r>
            <w:r w:rsidRPr="00ED613F">
              <w:rPr>
                <w:rFonts w:ascii="Times New Roman" w:hAnsi="Times New Roman"/>
                <w:sz w:val="20"/>
                <w:szCs w:val="20"/>
              </w:rPr>
              <w:lastRenderedPageBreak/>
              <w:t>odbywać komunikacja między akcjonariuszem a spółką oraz podmiotem prowadzącym ten rejestr.</w:t>
            </w:r>
          </w:p>
        </w:tc>
        <w:tc>
          <w:tcPr>
            <w:tcW w:w="5436" w:type="dxa"/>
          </w:tcPr>
          <w:p w:rsidR="00FB3697" w:rsidRPr="006F6473" w:rsidRDefault="00FB3697" w:rsidP="00FB3697">
            <w:pPr>
              <w:jc w:val="both"/>
              <w:rPr>
                <w:rFonts w:ascii="Times New Roman" w:eastAsia="MS Mincho" w:hAnsi="Times New Roman"/>
                <w:sz w:val="20"/>
                <w:szCs w:val="20"/>
              </w:rPr>
            </w:pPr>
            <w:r w:rsidRPr="006F6473">
              <w:rPr>
                <w:rFonts w:ascii="Times New Roman" w:eastAsia="MS Mincho" w:hAnsi="Times New Roman"/>
                <w:sz w:val="20"/>
                <w:szCs w:val="20"/>
              </w:rPr>
              <w:lastRenderedPageBreak/>
              <w:t xml:space="preserve">Uwaga została uwzględniona: § 7 zostanie wykreślony, a § 6 zostanie odpowiednio przeredagowany w taki sposób, </w:t>
            </w:r>
            <w:r w:rsidR="0094718D" w:rsidRPr="006F6473">
              <w:rPr>
                <w:rFonts w:ascii="Times New Roman" w:eastAsia="MS Mincho" w:hAnsi="Times New Roman"/>
                <w:sz w:val="20"/>
                <w:szCs w:val="20"/>
              </w:rPr>
              <w:t xml:space="preserve">aby pogodzić pozostawienie wymogu </w:t>
            </w:r>
            <w:r w:rsidR="00F26867" w:rsidRPr="006F6473">
              <w:rPr>
                <w:rFonts w:ascii="Times New Roman" w:eastAsia="MS Mincho" w:hAnsi="Times New Roman"/>
                <w:sz w:val="20"/>
                <w:szCs w:val="20"/>
              </w:rPr>
              <w:t>opatrzenia</w:t>
            </w:r>
            <w:r w:rsidR="0094718D" w:rsidRPr="006F6473">
              <w:rPr>
                <w:rFonts w:ascii="Times New Roman" w:eastAsia="MS Mincho" w:hAnsi="Times New Roman"/>
                <w:sz w:val="20"/>
                <w:szCs w:val="20"/>
              </w:rPr>
              <w:t xml:space="preserve"> </w:t>
            </w:r>
            <w:r w:rsidR="00F26867" w:rsidRPr="006F6473">
              <w:rPr>
                <w:rFonts w:ascii="Times New Roman" w:eastAsia="MS Mincho" w:hAnsi="Times New Roman"/>
                <w:sz w:val="20"/>
                <w:szCs w:val="20"/>
              </w:rPr>
              <w:t>świadectwa</w:t>
            </w:r>
            <w:r w:rsidR="0094718D" w:rsidRPr="006F6473">
              <w:rPr>
                <w:rFonts w:ascii="Times New Roman" w:eastAsia="MS Mincho" w:hAnsi="Times New Roman"/>
                <w:sz w:val="20"/>
                <w:szCs w:val="20"/>
              </w:rPr>
              <w:t xml:space="preserve"> </w:t>
            </w:r>
            <w:r w:rsidR="00F26867" w:rsidRPr="006F6473">
              <w:rPr>
                <w:rFonts w:ascii="Times New Roman" w:eastAsia="MS Mincho" w:hAnsi="Times New Roman"/>
                <w:sz w:val="20"/>
                <w:szCs w:val="20"/>
              </w:rPr>
              <w:t>re</w:t>
            </w:r>
            <w:r w:rsidR="004A3AA3" w:rsidRPr="006F6473">
              <w:rPr>
                <w:rFonts w:ascii="Times New Roman" w:eastAsia="MS Mincho" w:hAnsi="Times New Roman"/>
                <w:sz w:val="20"/>
                <w:szCs w:val="20"/>
              </w:rPr>
              <w:t>jestrowego</w:t>
            </w:r>
            <w:r w:rsidR="00F26867" w:rsidRPr="006F6473">
              <w:rPr>
                <w:rFonts w:ascii="Times New Roman" w:eastAsia="MS Mincho" w:hAnsi="Times New Roman"/>
                <w:sz w:val="20"/>
                <w:szCs w:val="20"/>
              </w:rPr>
              <w:t xml:space="preserve"> </w:t>
            </w:r>
            <w:r w:rsidR="0094718D" w:rsidRPr="006F6473">
              <w:rPr>
                <w:rFonts w:ascii="Times New Roman" w:eastAsia="MS Mincho" w:hAnsi="Times New Roman"/>
                <w:sz w:val="20"/>
                <w:szCs w:val="20"/>
              </w:rPr>
              <w:t xml:space="preserve">podpisem </w:t>
            </w:r>
            <w:r w:rsidR="00F26867" w:rsidRPr="006F6473">
              <w:rPr>
                <w:rFonts w:ascii="Times New Roman" w:eastAsia="MS Mincho" w:hAnsi="Times New Roman"/>
                <w:sz w:val="20"/>
                <w:szCs w:val="20"/>
              </w:rPr>
              <w:t>osoby</w:t>
            </w:r>
            <w:r w:rsidR="0094718D" w:rsidRPr="006F6473">
              <w:rPr>
                <w:rFonts w:ascii="Times New Roman" w:eastAsia="MS Mincho" w:hAnsi="Times New Roman"/>
                <w:sz w:val="20"/>
                <w:szCs w:val="20"/>
              </w:rPr>
              <w:t xml:space="preserve"> </w:t>
            </w:r>
            <w:r w:rsidR="00F26867" w:rsidRPr="006F6473">
              <w:rPr>
                <w:rFonts w:ascii="Times New Roman" w:eastAsia="MS Mincho" w:hAnsi="Times New Roman"/>
                <w:sz w:val="20"/>
                <w:szCs w:val="20"/>
              </w:rPr>
              <w:t>uprawnione</w:t>
            </w:r>
            <w:r w:rsidR="004A3AA3" w:rsidRPr="006F6473">
              <w:rPr>
                <w:rFonts w:ascii="Times New Roman" w:eastAsia="MS Mincho" w:hAnsi="Times New Roman"/>
                <w:sz w:val="20"/>
                <w:szCs w:val="20"/>
              </w:rPr>
              <w:t>j</w:t>
            </w:r>
            <w:r w:rsidR="0094718D" w:rsidRPr="006F6473">
              <w:rPr>
                <w:rFonts w:ascii="Times New Roman" w:eastAsia="MS Mincho" w:hAnsi="Times New Roman"/>
                <w:sz w:val="20"/>
                <w:szCs w:val="20"/>
              </w:rPr>
              <w:t xml:space="preserve"> </w:t>
            </w:r>
            <w:r w:rsidR="00F26867" w:rsidRPr="006F6473">
              <w:rPr>
                <w:rFonts w:ascii="Times New Roman" w:eastAsia="MS Mincho" w:hAnsi="Times New Roman"/>
                <w:sz w:val="20"/>
                <w:szCs w:val="20"/>
              </w:rPr>
              <w:t>z możliwością sporządzenia świadectwa w formie dokumentowej.</w:t>
            </w:r>
          </w:p>
          <w:p w:rsidR="00FF491E" w:rsidRPr="006F6473" w:rsidRDefault="00FF491E"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81D01" w:rsidRPr="006F6473" w:rsidRDefault="00F81D01"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 xml:space="preserve"> </w:t>
            </w:r>
          </w:p>
          <w:p w:rsidR="00E4280D" w:rsidRPr="006F6473" w:rsidRDefault="00AB65B5" w:rsidP="00E4280D">
            <w:pPr>
              <w:jc w:val="both"/>
              <w:rPr>
                <w:rFonts w:ascii="Times New Roman" w:eastAsia="MS Mincho" w:hAnsi="Times New Roman"/>
                <w:sz w:val="20"/>
                <w:szCs w:val="20"/>
              </w:rPr>
            </w:pPr>
            <w:r w:rsidRPr="006F6473">
              <w:rPr>
                <w:rFonts w:ascii="Times New Roman" w:eastAsia="MS Mincho" w:hAnsi="Times New Roman"/>
                <w:sz w:val="20"/>
                <w:szCs w:val="20"/>
              </w:rPr>
              <w:t>Wskazano</w:t>
            </w:r>
            <w:r w:rsidR="00FA0A37" w:rsidRPr="006F6473">
              <w:rPr>
                <w:rFonts w:ascii="Times New Roman" w:eastAsia="MS Mincho" w:hAnsi="Times New Roman"/>
                <w:sz w:val="20"/>
                <w:szCs w:val="20"/>
              </w:rPr>
              <w:t xml:space="preserve">, że </w:t>
            </w:r>
            <w:r w:rsidR="007655D4" w:rsidRPr="006F6473">
              <w:rPr>
                <w:rFonts w:ascii="Times New Roman" w:eastAsia="MS Mincho" w:hAnsi="Times New Roman"/>
                <w:sz w:val="20"/>
                <w:szCs w:val="20"/>
              </w:rPr>
              <w:t>zarówno świadectwo rejestrowe, jak i imienne zaświadczenie</w:t>
            </w:r>
            <w:r w:rsidR="00CB11BB" w:rsidRPr="006F6473">
              <w:rPr>
                <w:rFonts w:ascii="Times New Roman" w:eastAsia="MS Mincho" w:hAnsi="Times New Roman"/>
                <w:sz w:val="20"/>
                <w:szCs w:val="20"/>
              </w:rPr>
              <w:t xml:space="preserve"> o prawie uczestnictwa  w walnym zgro</w:t>
            </w:r>
            <w:r w:rsidR="00910D1F" w:rsidRPr="006F6473">
              <w:rPr>
                <w:rFonts w:ascii="Times New Roman" w:eastAsia="MS Mincho" w:hAnsi="Times New Roman"/>
                <w:sz w:val="20"/>
                <w:szCs w:val="20"/>
              </w:rPr>
              <w:t>madzeniu mogą być wystawione za</w:t>
            </w:r>
            <w:r w:rsidR="00CB11BB" w:rsidRPr="006F6473">
              <w:rPr>
                <w:rFonts w:ascii="Times New Roman" w:eastAsia="MS Mincho" w:hAnsi="Times New Roman"/>
                <w:sz w:val="20"/>
                <w:szCs w:val="20"/>
              </w:rPr>
              <w:t>równo w postaci papierowej, jak i elektronicznej. Wynika to z ogólnych prze</w:t>
            </w:r>
            <w:r w:rsidR="00E4280D" w:rsidRPr="006F6473">
              <w:rPr>
                <w:rFonts w:ascii="Times New Roman" w:eastAsia="MS Mincho" w:hAnsi="Times New Roman"/>
                <w:sz w:val="20"/>
                <w:szCs w:val="20"/>
              </w:rPr>
              <w:t xml:space="preserve">pisów prawa </w:t>
            </w:r>
            <w:r w:rsidR="00CB11BB" w:rsidRPr="006F6473">
              <w:rPr>
                <w:rFonts w:ascii="Times New Roman" w:eastAsia="MS Mincho" w:hAnsi="Times New Roman"/>
                <w:sz w:val="20"/>
                <w:szCs w:val="20"/>
              </w:rPr>
              <w:t xml:space="preserve">o </w:t>
            </w:r>
            <w:r w:rsidR="00E4280D" w:rsidRPr="006F6473">
              <w:rPr>
                <w:rFonts w:ascii="Times New Roman" w:eastAsia="MS Mincho" w:hAnsi="Times New Roman"/>
                <w:sz w:val="20"/>
                <w:szCs w:val="20"/>
              </w:rPr>
              <w:t>czynnościach</w:t>
            </w:r>
            <w:r w:rsidR="00CB11BB" w:rsidRPr="006F6473">
              <w:rPr>
                <w:rFonts w:ascii="Times New Roman" w:eastAsia="MS Mincho" w:hAnsi="Times New Roman"/>
                <w:sz w:val="20"/>
                <w:szCs w:val="20"/>
              </w:rPr>
              <w:t xml:space="preserve"> </w:t>
            </w:r>
            <w:r w:rsidR="00E4280D" w:rsidRPr="006F6473">
              <w:rPr>
                <w:rFonts w:ascii="Times New Roman" w:eastAsia="MS Mincho" w:hAnsi="Times New Roman"/>
                <w:sz w:val="20"/>
                <w:szCs w:val="20"/>
              </w:rPr>
              <w:t>prawnych (por. art. 78</w:t>
            </w:r>
            <w:r w:rsidR="00E4280D" w:rsidRPr="006F6473">
              <w:rPr>
                <w:rFonts w:ascii="Times New Roman" w:eastAsia="MS Mincho" w:hAnsi="Times New Roman"/>
                <w:sz w:val="20"/>
                <w:szCs w:val="20"/>
                <w:vertAlign w:val="superscript"/>
              </w:rPr>
              <w:t>1</w:t>
            </w:r>
            <w:r w:rsidR="00E4280D" w:rsidRPr="006F6473">
              <w:rPr>
                <w:rFonts w:ascii="Times New Roman" w:eastAsia="MS Mincho" w:hAnsi="Times New Roman"/>
                <w:sz w:val="20"/>
                <w:szCs w:val="20"/>
              </w:rPr>
              <w:t xml:space="preserve"> k.c.)</w:t>
            </w:r>
            <w:r w:rsidR="00910D1F" w:rsidRPr="006F6473">
              <w:rPr>
                <w:rFonts w:ascii="Times New Roman" w:eastAsia="MS Mincho" w:hAnsi="Times New Roman"/>
                <w:sz w:val="20"/>
                <w:szCs w:val="20"/>
              </w:rPr>
              <w:t>. Nie ma wię</w:t>
            </w:r>
            <w:r w:rsidR="00E4280D" w:rsidRPr="006F6473">
              <w:rPr>
                <w:rFonts w:ascii="Times New Roman" w:eastAsia="MS Mincho" w:hAnsi="Times New Roman"/>
                <w:sz w:val="20"/>
                <w:szCs w:val="20"/>
              </w:rPr>
              <w:t>c potrzeby</w:t>
            </w:r>
            <w:r w:rsidR="00910D1F" w:rsidRPr="006F6473">
              <w:rPr>
                <w:rFonts w:ascii="Times New Roman" w:eastAsia="MS Mincho" w:hAnsi="Times New Roman"/>
                <w:sz w:val="20"/>
                <w:szCs w:val="20"/>
              </w:rPr>
              <w:t xml:space="preserve"> odrębnego wskazywania takiej </w:t>
            </w:r>
            <w:r w:rsidR="0035386C" w:rsidRPr="006F6473">
              <w:rPr>
                <w:rFonts w:ascii="Times New Roman" w:eastAsia="MS Mincho" w:hAnsi="Times New Roman"/>
                <w:sz w:val="20"/>
                <w:szCs w:val="20"/>
              </w:rPr>
              <w:t>możliwości</w:t>
            </w:r>
            <w:r w:rsidR="00E4280D" w:rsidRPr="006F6473">
              <w:rPr>
                <w:rFonts w:ascii="Times New Roman" w:eastAsia="MS Mincho" w:hAnsi="Times New Roman"/>
                <w:sz w:val="20"/>
                <w:szCs w:val="20"/>
              </w:rPr>
              <w:t xml:space="preserve"> w projektowanych </w:t>
            </w:r>
            <w:r w:rsidR="00910D1F" w:rsidRPr="006F6473">
              <w:rPr>
                <w:rFonts w:ascii="Times New Roman" w:eastAsia="MS Mincho" w:hAnsi="Times New Roman"/>
                <w:sz w:val="20"/>
                <w:szCs w:val="20"/>
              </w:rPr>
              <w:t>przepisach</w:t>
            </w:r>
            <w:r w:rsidR="00E4280D" w:rsidRPr="006F6473">
              <w:rPr>
                <w:rFonts w:ascii="Times New Roman" w:eastAsia="MS Mincho" w:hAnsi="Times New Roman"/>
                <w:sz w:val="20"/>
                <w:szCs w:val="20"/>
              </w:rPr>
              <w:t>.</w:t>
            </w:r>
          </w:p>
          <w:p w:rsidR="00FF491E" w:rsidRPr="006F6473" w:rsidRDefault="00FF491E" w:rsidP="00910D1F">
            <w:pPr>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16.</w:t>
            </w:r>
          </w:p>
        </w:tc>
        <w:tc>
          <w:tcPr>
            <w:tcW w:w="2127" w:type="dxa"/>
            <w:vMerge/>
          </w:tcPr>
          <w:p w:rsidR="00FF491E" w:rsidRPr="00ED613F" w:rsidRDefault="00FF491E" w:rsidP="00ED613F">
            <w:pPr>
              <w:spacing w:line="276" w:lineRule="auto"/>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Przepis art. 328</w:t>
            </w:r>
            <w:r w:rsidRPr="00ED613F">
              <w:rPr>
                <w:rFonts w:ascii="Times New Roman" w:hAnsi="Times New Roman"/>
                <w:sz w:val="20"/>
                <w:szCs w:val="20"/>
                <w:vertAlign w:val="superscript"/>
              </w:rPr>
              <w:t>5</w:t>
            </w:r>
            <w:r w:rsidRPr="00ED613F">
              <w:rPr>
                <w:rFonts w:ascii="Times New Roman" w:hAnsi="Times New Roman"/>
                <w:sz w:val="20"/>
                <w:szCs w:val="20"/>
              </w:rPr>
              <w:t xml:space="preserve">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xml:space="preserve">. wprowadza instytucję świadectwa rejestrowego, analogiczną do instytucji świadectwa depozytowego wystawianego na podstawie przepisów </w:t>
            </w:r>
            <w:proofErr w:type="spellStart"/>
            <w:r w:rsidRPr="00ED613F">
              <w:rPr>
                <w:rFonts w:ascii="Times New Roman" w:hAnsi="Times New Roman"/>
                <w:sz w:val="20"/>
                <w:szCs w:val="20"/>
              </w:rPr>
              <w:t>u.o.i.f</w:t>
            </w:r>
            <w:proofErr w:type="spellEnd"/>
            <w:r w:rsidRPr="00ED613F">
              <w:rPr>
                <w:rFonts w:ascii="Times New Roman" w:hAnsi="Times New Roman"/>
                <w:sz w:val="20"/>
                <w:szCs w:val="20"/>
              </w:rPr>
              <w:t>. Projektodawca nie wyłączył jednak obowiązku blokady akcji w przypadku zwrotu świadectwa rejestrowego. Nie jest jasne, jakie argumenty przemawiają za tą różnicą.</w:t>
            </w:r>
          </w:p>
        </w:tc>
        <w:tc>
          <w:tcPr>
            <w:tcW w:w="5436" w:type="dxa"/>
          </w:tcPr>
          <w:p w:rsidR="00FF491E" w:rsidRPr="006F6473" w:rsidRDefault="00320EE8" w:rsidP="00EF5B36">
            <w:pPr>
              <w:rPr>
                <w:rFonts w:ascii="Times New Roman" w:eastAsia="MS Mincho" w:hAnsi="Times New Roman"/>
                <w:sz w:val="20"/>
                <w:szCs w:val="20"/>
              </w:rPr>
            </w:pPr>
            <w:r w:rsidRPr="006F6473">
              <w:rPr>
                <w:rFonts w:ascii="Times New Roman" w:eastAsia="MS Mincho" w:hAnsi="Times New Roman"/>
                <w:sz w:val="20"/>
                <w:szCs w:val="20"/>
              </w:rPr>
              <w:t>Uwaga została uwzględniona: p</w:t>
            </w:r>
            <w:r w:rsidR="00FF491E" w:rsidRPr="006F6473">
              <w:rPr>
                <w:rFonts w:ascii="Times New Roman" w:eastAsia="MS Mincho" w:hAnsi="Times New Roman"/>
                <w:sz w:val="20"/>
                <w:szCs w:val="20"/>
              </w:rPr>
              <w:t xml:space="preserve">rzepis </w:t>
            </w:r>
            <w:r w:rsidRPr="006F6473">
              <w:rPr>
                <w:rFonts w:ascii="Times New Roman" w:eastAsia="MS Mincho" w:hAnsi="Times New Roman"/>
                <w:sz w:val="20"/>
                <w:szCs w:val="20"/>
              </w:rPr>
              <w:t>art. 328</w:t>
            </w:r>
            <w:r w:rsidR="00EF5B36" w:rsidRPr="006F6473">
              <w:rPr>
                <w:rFonts w:ascii="Times New Roman" w:eastAsia="MS Mincho" w:hAnsi="Times New Roman"/>
                <w:sz w:val="20"/>
                <w:szCs w:val="20"/>
                <w:vertAlign w:val="superscript"/>
              </w:rPr>
              <w:t>7</w:t>
            </w:r>
            <w:r w:rsidRPr="006F6473">
              <w:rPr>
                <w:rFonts w:ascii="Times New Roman" w:eastAsia="MS Mincho" w:hAnsi="Times New Roman"/>
                <w:sz w:val="20"/>
                <w:szCs w:val="20"/>
              </w:rPr>
              <w:t xml:space="preserve"> § 1 </w:t>
            </w:r>
            <w:r w:rsidR="00EF5B36" w:rsidRPr="006F6473">
              <w:rPr>
                <w:rFonts w:ascii="Times New Roman" w:eastAsia="MS Mincho" w:hAnsi="Times New Roman"/>
                <w:sz w:val="20"/>
                <w:szCs w:val="20"/>
              </w:rPr>
              <w:t xml:space="preserve"> </w:t>
            </w:r>
            <w:proofErr w:type="spellStart"/>
            <w:r w:rsidR="00EF5B36" w:rsidRPr="006F6473">
              <w:rPr>
                <w:rFonts w:ascii="Times New Roman" w:eastAsia="MS Mincho" w:hAnsi="Times New Roman"/>
                <w:sz w:val="20"/>
                <w:szCs w:val="20"/>
              </w:rPr>
              <w:t>k.s.h</w:t>
            </w:r>
            <w:proofErr w:type="spellEnd"/>
            <w:r w:rsidR="00EF5B36" w:rsidRPr="006F6473">
              <w:rPr>
                <w:rFonts w:ascii="Times New Roman" w:eastAsia="MS Mincho" w:hAnsi="Times New Roman"/>
                <w:sz w:val="20"/>
                <w:szCs w:val="20"/>
              </w:rPr>
              <w:t xml:space="preserve">. zdanie pierwsze </w:t>
            </w:r>
            <w:r w:rsidR="00FF491E" w:rsidRPr="006F6473">
              <w:rPr>
                <w:rFonts w:ascii="Times New Roman" w:eastAsia="MS Mincho" w:hAnsi="Times New Roman"/>
                <w:sz w:val="20"/>
                <w:szCs w:val="20"/>
              </w:rPr>
              <w:t xml:space="preserve">zostanie przeformułowany na wzór art. 11  </w:t>
            </w:r>
            <w:r w:rsidR="00EF5B36" w:rsidRPr="006F6473">
              <w:rPr>
                <w:rFonts w:ascii="Times New Roman" w:eastAsia="MS Mincho" w:hAnsi="Times New Roman"/>
                <w:sz w:val="20"/>
                <w:szCs w:val="20"/>
              </w:rPr>
              <w:t xml:space="preserve">ust. 1 </w:t>
            </w:r>
            <w:r w:rsidR="00FF491E" w:rsidRPr="006F6473">
              <w:rPr>
                <w:rFonts w:ascii="Times New Roman" w:eastAsia="MS Mincho" w:hAnsi="Times New Roman"/>
                <w:sz w:val="20"/>
                <w:szCs w:val="20"/>
              </w:rPr>
              <w:t>ustawy o obrocie instrumentami finansowymi.</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17.</w:t>
            </w:r>
          </w:p>
        </w:tc>
        <w:tc>
          <w:tcPr>
            <w:tcW w:w="2127" w:type="dxa"/>
            <w:vMerge w:val="restart"/>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6</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before="200" w:after="200" w:line="276" w:lineRule="auto"/>
              <w:jc w:val="center"/>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MC</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Mając na uwadze działania Ministra Cyfryzacji zmierzające do popularyzacji posługiwania się w obiegu dokumentów ich postacią elektroniczną, w projektowanym art. 328</w:t>
            </w:r>
            <w:r w:rsidRPr="00ED613F">
              <w:rPr>
                <w:rFonts w:ascii="Times New Roman" w:hAnsi="Times New Roman"/>
                <w:sz w:val="20"/>
                <w:szCs w:val="20"/>
                <w:vertAlign w:val="superscript"/>
              </w:rPr>
              <w:t>6</w:t>
            </w:r>
            <w:r w:rsidRPr="00ED613F">
              <w:rPr>
                <w:rFonts w:ascii="Times New Roman" w:hAnsi="Times New Roman"/>
                <w:sz w:val="20"/>
                <w:szCs w:val="20"/>
              </w:rPr>
              <w:t xml:space="preserve"> § 3 proponuje się zrezygnować z posługiwania się zwrotem „również drogą elektroniczną", zaś w treści przepisu wskazać, że spółka i akcjonariusz mają prawo żądać wydania poświadczonych odpisów, wyciągów, zaświadczeń i informacji z rejestru akcjonariuszy w postaci papierowej lub elektronicznej.</w:t>
            </w:r>
          </w:p>
        </w:tc>
        <w:tc>
          <w:tcPr>
            <w:tcW w:w="5436" w:type="dxa"/>
          </w:tcPr>
          <w:p w:rsidR="00FF491E" w:rsidRPr="006F6473" w:rsidRDefault="00D35DA9" w:rsidP="0035386C">
            <w:pPr>
              <w:jc w:val="both"/>
              <w:rPr>
                <w:rFonts w:ascii="Times New Roman" w:eastAsia="MS Mincho" w:hAnsi="Times New Roman"/>
                <w:sz w:val="20"/>
                <w:szCs w:val="20"/>
              </w:rPr>
            </w:pPr>
            <w:r w:rsidRPr="006F6473">
              <w:rPr>
                <w:rFonts w:ascii="Times New Roman" w:eastAsia="MS Mincho" w:hAnsi="Times New Roman"/>
                <w:sz w:val="20"/>
                <w:szCs w:val="20"/>
              </w:rPr>
              <w:t xml:space="preserve">Uwaga </w:t>
            </w:r>
            <w:r w:rsidR="0035386C" w:rsidRPr="006F6473">
              <w:rPr>
                <w:rFonts w:ascii="Times New Roman" w:eastAsia="MS Mincho" w:hAnsi="Times New Roman"/>
                <w:sz w:val="20"/>
                <w:szCs w:val="20"/>
              </w:rPr>
              <w:t xml:space="preserve">została </w:t>
            </w:r>
            <w:r w:rsidRPr="006F6473">
              <w:rPr>
                <w:rFonts w:ascii="Times New Roman" w:eastAsia="MS Mincho" w:hAnsi="Times New Roman"/>
                <w:sz w:val="20"/>
                <w:szCs w:val="20"/>
              </w:rPr>
              <w:t xml:space="preserve">uwzględniona: </w:t>
            </w:r>
            <w:r w:rsidR="005A1497" w:rsidRPr="006F6473">
              <w:rPr>
                <w:rFonts w:ascii="Times New Roman" w:eastAsia="MS Mincho" w:hAnsi="Times New Roman"/>
                <w:sz w:val="20"/>
                <w:szCs w:val="20"/>
              </w:rPr>
              <w:t>art. 328</w:t>
            </w:r>
            <w:r w:rsidR="005A1497" w:rsidRPr="006F6473">
              <w:rPr>
                <w:rFonts w:ascii="Times New Roman" w:eastAsia="MS Mincho" w:hAnsi="Times New Roman"/>
                <w:sz w:val="20"/>
                <w:szCs w:val="20"/>
                <w:vertAlign w:val="superscript"/>
              </w:rPr>
              <w:t>6</w:t>
            </w:r>
            <w:r w:rsidR="005A1497" w:rsidRPr="006F6473">
              <w:rPr>
                <w:rFonts w:ascii="Times New Roman" w:eastAsia="MS Mincho" w:hAnsi="Times New Roman"/>
                <w:sz w:val="20"/>
                <w:szCs w:val="20"/>
              </w:rPr>
              <w:t xml:space="preserve"> </w:t>
            </w:r>
            <w:r w:rsidR="00FF491E" w:rsidRPr="006F6473">
              <w:rPr>
                <w:rFonts w:ascii="Times New Roman" w:eastAsia="MS Mincho" w:hAnsi="Times New Roman"/>
                <w:sz w:val="20"/>
                <w:szCs w:val="20"/>
              </w:rPr>
              <w:t xml:space="preserve">§ 3 </w:t>
            </w:r>
            <w:r w:rsidR="005A1497" w:rsidRPr="006F6473">
              <w:rPr>
                <w:rFonts w:ascii="Times New Roman" w:eastAsia="MS Mincho" w:hAnsi="Times New Roman"/>
                <w:sz w:val="20"/>
                <w:szCs w:val="20"/>
              </w:rPr>
              <w:t>zostanie przeformułowany zgodnie z propozycj</w:t>
            </w:r>
            <w:r w:rsidR="00F31138" w:rsidRPr="006F6473">
              <w:rPr>
                <w:rFonts w:ascii="Times New Roman" w:eastAsia="MS Mincho" w:hAnsi="Times New Roman"/>
                <w:sz w:val="20"/>
                <w:szCs w:val="20"/>
              </w:rPr>
              <w:t>ą</w:t>
            </w:r>
            <w:r w:rsidR="005A1497" w:rsidRPr="006F6473">
              <w:rPr>
                <w:rFonts w:ascii="Times New Roman" w:eastAsia="MS Mincho" w:hAnsi="Times New Roman"/>
                <w:sz w:val="20"/>
                <w:szCs w:val="20"/>
              </w:rPr>
              <w:t xml:space="preserve"> MC.</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18.</w:t>
            </w:r>
          </w:p>
        </w:tc>
        <w:tc>
          <w:tcPr>
            <w:tcW w:w="2127" w:type="dxa"/>
            <w:vMerge/>
          </w:tcPr>
          <w:p w:rsidR="00FF491E" w:rsidRPr="00ED613F" w:rsidRDefault="00FF491E" w:rsidP="00ED613F">
            <w:pPr>
              <w:spacing w:line="276" w:lineRule="auto"/>
              <w:jc w:val="center"/>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W odniesieniu do projektowanego art. 328</w:t>
            </w:r>
            <w:r w:rsidRPr="00ED613F">
              <w:rPr>
                <w:rFonts w:ascii="Times New Roman" w:hAnsi="Times New Roman"/>
                <w:sz w:val="20"/>
                <w:szCs w:val="20"/>
                <w:vertAlign w:val="superscript"/>
              </w:rPr>
              <w:t>6</w:t>
            </w:r>
            <w:r w:rsidRPr="00ED613F">
              <w:rPr>
                <w:rFonts w:ascii="Times New Roman" w:hAnsi="Times New Roman"/>
                <w:sz w:val="20"/>
                <w:szCs w:val="20"/>
              </w:rPr>
              <w:t xml:space="preserve"> § 1 </w:t>
            </w:r>
            <w:proofErr w:type="spellStart"/>
            <w:r w:rsidRPr="00ED613F">
              <w:rPr>
                <w:rFonts w:ascii="Times New Roman" w:hAnsi="Times New Roman"/>
                <w:sz w:val="20"/>
                <w:szCs w:val="20"/>
              </w:rPr>
              <w:t>K.s.h</w:t>
            </w:r>
            <w:proofErr w:type="spellEnd"/>
            <w:r w:rsidRPr="00ED613F">
              <w:rPr>
                <w:rFonts w:ascii="Times New Roman" w:hAnsi="Times New Roman"/>
                <w:sz w:val="20"/>
                <w:szCs w:val="20"/>
              </w:rPr>
              <w:t xml:space="preserve">., statuującego dla spółki i każdego akcjonariusza regułę jawności danych zawartych w rejestrze akcjonariuszy, szczegółowego wyjaśnienia w uzasadnieniu wymaga </w:t>
            </w:r>
            <w:r w:rsidRPr="00ED613F">
              <w:rPr>
                <w:rFonts w:ascii="Times New Roman" w:hAnsi="Times New Roman"/>
                <w:i/>
                <w:sz w:val="20"/>
                <w:szCs w:val="20"/>
              </w:rPr>
              <w:t>ratio legis</w:t>
            </w:r>
            <w:r w:rsidRPr="00ED613F">
              <w:rPr>
                <w:rFonts w:ascii="Times New Roman" w:hAnsi="Times New Roman"/>
                <w:sz w:val="20"/>
                <w:szCs w:val="20"/>
              </w:rPr>
              <w:t xml:space="preserve"> udostępnienia do wglądu adresów zamieszkania każdego z akcjonariuszy w kontekście ochrony danych osobowych.</w:t>
            </w:r>
          </w:p>
        </w:tc>
        <w:tc>
          <w:tcPr>
            <w:tcW w:w="5436" w:type="dxa"/>
          </w:tcPr>
          <w:p w:rsidR="00543279" w:rsidRPr="006F6473" w:rsidRDefault="00D53750" w:rsidP="005505DA">
            <w:pPr>
              <w:jc w:val="both"/>
              <w:rPr>
                <w:rFonts w:ascii="Times New Roman" w:hAnsi="Times New Roman"/>
                <w:sz w:val="20"/>
                <w:szCs w:val="20"/>
              </w:rPr>
            </w:pPr>
            <w:r w:rsidRPr="006F6473">
              <w:rPr>
                <w:rFonts w:ascii="Times New Roman" w:eastAsia="MS Mincho" w:hAnsi="Times New Roman"/>
                <w:sz w:val="20"/>
                <w:szCs w:val="20"/>
              </w:rPr>
              <w:t>Wyjaśniono, że analogiczne zasady, jak proponowane w projekcie przewidziane są już obecnie w odniesieniu do księgi akcyjnej</w:t>
            </w:r>
            <w:r w:rsidR="00FF491E" w:rsidRPr="006F6473">
              <w:rPr>
                <w:rFonts w:ascii="Times New Roman" w:eastAsia="MS Mincho" w:hAnsi="Times New Roman"/>
                <w:sz w:val="20"/>
                <w:szCs w:val="20"/>
              </w:rPr>
              <w:t xml:space="preserve"> </w:t>
            </w:r>
            <w:r w:rsidR="00556CA1" w:rsidRPr="006F6473">
              <w:rPr>
                <w:rFonts w:ascii="Times New Roman" w:eastAsia="MS Mincho" w:hAnsi="Times New Roman"/>
                <w:sz w:val="20"/>
                <w:szCs w:val="20"/>
              </w:rPr>
              <w:t>w</w:t>
            </w:r>
            <w:r w:rsidR="00FF491E" w:rsidRPr="006F6473">
              <w:rPr>
                <w:rFonts w:ascii="Times New Roman" w:eastAsia="MS Mincho" w:hAnsi="Times New Roman"/>
                <w:sz w:val="20"/>
                <w:szCs w:val="20"/>
              </w:rPr>
              <w:t xml:space="preserve"> art. 341 </w:t>
            </w:r>
            <w:r w:rsidR="00556CA1" w:rsidRPr="006F6473">
              <w:rPr>
                <w:rFonts w:ascii="Times New Roman" w:hAnsi="Times New Roman"/>
                <w:sz w:val="20"/>
                <w:szCs w:val="20"/>
              </w:rPr>
              <w:t xml:space="preserve">§ 1 i 7 </w:t>
            </w:r>
            <w:proofErr w:type="spellStart"/>
            <w:r w:rsidR="00556CA1" w:rsidRPr="006F6473">
              <w:rPr>
                <w:rFonts w:ascii="Times New Roman" w:hAnsi="Times New Roman"/>
                <w:sz w:val="20"/>
                <w:szCs w:val="20"/>
              </w:rPr>
              <w:t>k</w:t>
            </w:r>
            <w:r w:rsidR="00FF491E" w:rsidRPr="006F6473">
              <w:rPr>
                <w:rFonts w:ascii="Times New Roman" w:hAnsi="Times New Roman"/>
                <w:sz w:val="20"/>
                <w:szCs w:val="20"/>
              </w:rPr>
              <w:t>.s.h</w:t>
            </w:r>
            <w:proofErr w:type="spellEnd"/>
            <w:r w:rsidR="00FF491E" w:rsidRPr="006F6473">
              <w:rPr>
                <w:rFonts w:ascii="Times New Roman" w:hAnsi="Times New Roman"/>
                <w:sz w:val="20"/>
                <w:szCs w:val="20"/>
              </w:rPr>
              <w:t>.</w:t>
            </w:r>
            <w:r w:rsidR="00556CA1" w:rsidRPr="006F6473">
              <w:rPr>
                <w:rFonts w:ascii="Times New Roman" w:hAnsi="Times New Roman"/>
                <w:sz w:val="20"/>
                <w:szCs w:val="20"/>
              </w:rPr>
              <w:t xml:space="preserve"> </w:t>
            </w:r>
            <w:r w:rsidR="0046240A" w:rsidRPr="006F6473">
              <w:rPr>
                <w:rFonts w:ascii="Times New Roman" w:hAnsi="Times New Roman"/>
                <w:sz w:val="20"/>
                <w:szCs w:val="20"/>
              </w:rPr>
              <w:t>Z myślą o ochronie prywatności akcjonariusza projektowany przepi</w:t>
            </w:r>
            <w:r w:rsidR="007B0730" w:rsidRPr="006F6473">
              <w:rPr>
                <w:rFonts w:ascii="Times New Roman" w:hAnsi="Times New Roman"/>
                <w:sz w:val="20"/>
                <w:szCs w:val="20"/>
              </w:rPr>
              <w:t>s</w:t>
            </w:r>
            <w:r w:rsidR="0046240A" w:rsidRPr="006F6473">
              <w:rPr>
                <w:rFonts w:ascii="Times New Roman" w:hAnsi="Times New Roman"/>
                <w:sz w:val="20"/>
                <w:szCs w:val="20"/>
              </w:rPr>
              <w:t xml:space="preserve"> </w:t>
            </w:r>
            <w:r w:rsidR="007B0730" w:rsidRPr="006F6473">
              <w:rPr>
                <w:rFonts w:ascii="Times New Roman" w:hAnsi="Times New Roman"/>
                <w:sz w:val="20"/>
                <w:szCs w:val="20"/>
              </w:rPr>
              <w:t>art. 328</w:t>
            </w:r>
            <w:r w:rsidR="001A695D" w:rsidRPr="006F6473">
              <w:rPr>
                <w:rFonts w:ascii="Times New Roman" w:hAnsi="Times New Roman"/>
                <w:sz w:val="20"/>
                <w:szCs w:val="20"/>
                <w:vertAlign w:val="superscript"/>
              </w:rPr>
              <w:t>1</w:t>
            </w:r>
            <w:r w:rsidR="001A695D" w:rsidRPr="006F6473">
              <w:rPr>
                <w:rFonts w:ascii="Times New Roman" w:hAnsi="Times New Roman"/>
                <w:sz w:val="20"/>
                <w:szCs w:val="20"/>
              </w:rPr>
              <w:t xml:space="preserve"> § </w:t>
            </w:r>
            <w:r w:rsidR="007B0730" w:rsidRPr="006F6473">
              <w:rPr>
                <w:rFonts w:ascii="Times New Roman" w:hAnsi="Times New Roman"/>
                <w:sz w:val="20"/>
                <w:szCs w:val="20"/>
              </w:rPr>
              <w:t xml:space="preserve"> </w:t>
            </w:r>
            <w:r w:rsidR="001A695D" w:rsidRPr="006F6473">
              <w:rPr>
                <w:rFonts w:ascii="Times New Roman" w:hAnsi="Times New Roman"/>
                <w:sz w:val="20"/>
                <w:szCs w:val="20"/>
              </w:rPr>
              <w:t xml:space="preserve">3 pkt 5 </w:t>
            </w:r>
            <w:proofErr w:type="spellStart"/>
            <w:r w:rsidR="007B0730" w:rsidRPr="006F6473">
              <w:rPr>
                <w:rFonts w:ascii="Times New Roman" w:hAnsi="Times New Roman"/>
                <w:sz w:val="20"/>
                <w:szCs w:val="20"/>
              </w:rPr>
              <w:t>k</w:t>
            </w:r>
            <w:r w:rsidR="001A695D" w:rsidRPr="006F6473">
              <w:rPr>
                <w:rFonts w:ascii="Times New Roman" w:hAnsi="Times New Roman"/>
                <w:sz w:val="20"/>
                <w:szCs w:val="20"/>
              </w:rPr>
              <w:t>.</w:t>
            </w:r>
            <w:r w:rsidR="007B0730" w:rsidRPr="006F6473">
              <w:rPr>
                <w:rFonts w:ascii="Times New Roman" w:hAnsi="Times New Roman"/>
                <w:sz w:val="20"/>
                <w:szCs w:val="20"/>
              </w:rPr>
              <w:t>s.h</w:t>
            </w:r>
            <w:proofErr w:type="spellEnd"/>
            <w:r w:rsidR="007B0730" w:rsidRPr="006F6473">
              <w:rPr>
                <w:rFonts w:ascii="Times New Roman" w:hAnsi="Times New Roman"/>
                <w:sz w:val="20"/>
                <w:szCs w:val="20"/>
              </w:rPr>
              <w:t xml:space="preserve">. </w:t>
            </w:r>
            <w:r w:rsidR="0046240A" w:rsidRPr="006F6473">
              <w:rPr>
                <w:rFonts w:ascii="Times New Roman" w:hAnsi="Times New Roman"/>
                <w:sz w:val="20"/>
                <w:szCs w:val="20"/>
              </w:rPr>
              <w:t>przewiduje</w:t>
            </w:r>
            <w:r w:rsidR="007B0730" w:rsidRPr="006F6473">
              <w:rPr>
                <w:rFonts w:ascii="Times New Roman" w:hAnsi="Times New Roman"/>
                <w:sz w:val="20"/>
                <w:szCs w:val="20"/>
              </w:rPr>
              <w:t xml:space="preserve">, że </w:t>
            </w:r>
            <w:r w:rsidR="001A695D" w:rsidRPr="006F6473">
              <w:rPr>
                <w:rFonts w:ascii="Times New Roman" w:hAnsi="Times New Roman"/>
                <w:sz w:val="20"/>
                <w:szCs w:val="20"/>
              </w:rPr>
              <w:t xml:space="preserve">akcjonariusz </w:t>
            </w:r>
            <w:r w:rsidR="007B0730" w:rsidRPr="006F6473">
              <w:rPr>
                <w:rFonts w:ascii="Times New Roman" w:hAnsi="Times New Roman"/>
                <w:sz w:val="20"/>
                <w:szCs w:val="20"/>
              </w:rPr>
              <w:t>nie musi poda</w:t>
            </w:r>
            <w:r w:rsidR="0046240A" w:rsidRPr="006F6473">
              <w:rPr>
                <w:rFonts w:ascii="Times New Roman" w:hAnsi="Times New Roman"/>
                <w:sz w:val="20"/>
                <w:szCs w:val="20"/>
              </w:rPr>
              <w:t>wać adresu miejsca zamieszkania</w:t>
            </w:r>
            <w:r w:rsidR="007B0730" w:rsidRPr="006F6473">
              <w:rPr>
                <w:rFonts w:ascii="Times New Roman" w:hAnsi="Times New Roman"/>
                <w:sz w:val="20"/>
                <w:szCs w:val="20"/>
              </w:rPr>
              <w:t xml:space="preserve">: może </w:t>
            </w:r>
            <w:r w:rsidR="001A695D" w:rsidRPr="006F6473">
              <w:rPr>
                <w:rFonts w:ascii="Times New Roman" w:hAnsi="Times New Roman"/>
                <w:sz w:val="20"/>
                <w:szCs w:val="20"/>
              </w:rPr>
              <w:t xml:space="preserve">on </w:t>
            </w:r>
            <w:r w:rsidR="007B0730" w:rsidRPr="006F6473">
              <w:rPr>
                <w:rFonts w:ascii="Times New Roman" w:hAnsi="Times New Roman"/>
                <w:sz w:val="20"/>
                <w:szCs w:val="20"/>
              </w:rPr>
              <w:t>podać ad</w:t>
            </w:r>
            <w:r w:rsidR="001A695D" w:rsidRPr="006F6473">
              <w:rPr>
                <w:rFonts w:ascii="Times New Roman" w:hAnsi="Times New Roman"/>
                <w:sz w:val="20"/>
                <w:szCs w:val="20"/>
              </w:rPr>
              <w:t>res</w:t>
            </w:r>
            <w:r w:rsidR="007B0730" w:rsidRPr="006F6473">
              <w:rPr>
                <w:rFonts w:ascii="Times New Roman" w:hAnsi="Times New Roman"/>
                <w:sz w:val="20"/>
                <w:szCs w:val="20"/>
              </w:rPr>
              <w:t xml:space="preserve"> do doręczeń</w:t>
            </w:r>
            <w:r w:rsidR="001A695D" w:rsidRPr="006F6473">
              <w:rPr>
                <w:rFonts w:ascii="Times New Roman" w:hAnsi="Times New Roman"/>
                <w:sz w:val="20"/>
                <w:szCs w:val="20"/>
              </w:rPr>
              <w:t>.</w:t>
            </w:r>
          </w:p>
          <w:p w:rsidR="00543279" w:rsidRPr="006F6473" w:rsidRDefault="00543279" w:rsidP="005505DA">
            <w:pPr>
              <w:jc w:val="both"/>
              <w:rPr>
                <w:rFonts w:ascii="Times New Roman" w:hAnsi="Times New Roman"/>
                <w:sz w:val="20"/>
                <w:szCs w:val="20"/>
              </w:rPr>
            </w:pPr>
            <w:r w:rsidRPr="006F6473">
              <w:rPr>
                <w:rFonts w:ascii="Times New Roman" w:hAnsi="Times New Roman"/>
                <w:sz w:val="20"/>
                <w:szCs w:val="20"/>
              </w:rPr>
              <w:t>Wskazana wyżej konstrukcja zostanie też zastosowana w przepisie art. 328</w:t>
            </w:r>
            <w:r w:rsidRPr="006F6473">
              <w:rPr>
                <w:rFonts w:ascii="Times New Roman" w:hAnsi="Times New Roman"/>
                <w:sz w:val="20"/>
                <w:szCs w:val="20"/>
                <w:vertAlign w:val="superscript"/>
              </w:rPr>
              <w:t xml:space="preserve">5 </w:t>
            </w:r>
            <w:r w:rsidRPr="006F6473">
              <w:rPr>
                <w:rFonts w:ascii="Times New Roman" w:hAnsi="Times New Roman"/>
                <w:sz w:val="20"/>
                <w:szCs w:val="20"/>
              </w:rPr>
              <w:t xml:space="preserve">§ 5 </w:t>
            </w:r>
            <w:proofErr w:type="spellStart"/>
            <w:r w:rsidRPr="006F6473">
              <w:rPr>
                <w:rFonts w:ascii="Times New Roman" w:hAnsi="Times New Roman"/>
                <w:sz w:val="20"/>
                <w:szCs w:val="20"/>
              </w:rPr>
              <w:t>k.s.h</w:t>
            </w:r>
            <w:proofErr w:type="spellEnd"/>
            <w:r w:rsidRPr="006F6473">
              <w:rPr>
                <w:rFonts w:ascii="Times New Roman" w:hAnsi="Times New Roman"/>
                <w:sz w:val="20"/>
                <w:szCs w:val="20"/>
              </w:rPr>
              <w:t>., który zostanie odpowiednio doprecyzowany.</w:t>
            </w:r>
          </w:p>
          <w:p w:rsidR="00FF491E" w:rsidRPr="006F6473" w:rsidRDefault="00543279" w:rsidP="005505DA">
            <w:pPr>
              <w:jc w:val="both"/>
              <w:rPr>
                <w:rFonts w:ascii="Times New Roman" w:eastAsia="MS Mincho" w:hAnsi="Times New Roman"/>
                <w:sz w:val="20"/>
                <w:szCs w:val="20"/>
              </w:rPr>
            </w:pPr>
            <w:r w:rsidRPr="006F6473">
              <w:rPr>
                <w:rFonts w:ascii="Times New Roman" w:hAnsi="Times New Roman"/>
                <w:sz w:val="20"/>
                <w:szCs w:val="20"/>
              </w:rPr>
              <w:t>Nadto, kwestia ta zostanie</w:t>
            </w:r>
            <w:r w:rsidR="005505DA" w:rsidRPr="006F6473">
              <w:rPr>
                <w:rFonts w:ascii="Times New Roman" w:hAnsi="Times New Roman"/>
                <w:sz w:val="20"/>
                <w:szCs w:val="20"/>
              </w:rPr>
              <w:t xml:space="preserve"> dodatkowo wyjaśniona w uzasadnieniu.</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19.</w:t>
            </w:r>
          </w:p>
        </w:tc>
        <w:tc>
          <w:tcPr>
            <w:tcW w:w="2127" w:type="dxa"/>
            <w:vMerge/>
          </w:tcPr>
          <w:p w:rsidR="00FF491E" w:rsidRPr="00ED613F" w:rsidRDefault="00FF491E" w:rsidP="00ED613F">
            <w:pPr>
              <w:spacing w:line="276" w:lineRule="auto"/>
              <w:jc w:val="center"/>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 xml:space="preserve">Informacja o dacie dokonania wpisu do rejestru akcjonariuszy jest niezbędna dla udokumentowania zaistnienia danego zdarzenia dla celów finansowo-księgowych, a w szczególności przypisania go do określonego okresu sprawozdawczego. Dotyczyć to będzie w szczególności zmiany wpisu, polegającego na wykreśleniu akcjonariusza. </w:t>
            </w:r>
          </w:p>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Powstaje wątpliwość, czy postanowienia art. 328</w:t>
            </w:r>
            <w:r w:rsidRPr="00ED613F">
              <w:rPr>
                <w:rFonts w:ascii="Times New Roman" w:hAnsi="Times New Roman"/>
                <w:sz w:val="20"/>
                <w:szCs w:val="20"/>
                <w:vertAlign w:val="superscript"/>
              </w:rPr>
              <w:t>6</w:t>
            </w:r>
            <w:r w:rsidRPr="00ED613F">
              <w:rPr>
                <w:rFonts w:ascii="Times New Roman" w:hAnsi="Times New Roman"/>
                <w:sz w:val="20"/>
                <w:szCs w:val="20"/>
              </w:rPr>
              <w:t xml:space="preserve"> dotyczą także praw byłych akcjonariuszy.</w:t>
            </w:r>
          </w:p>
        </w:tc>
        <w:tc>
          <w:tcPr>
            <w:tcW w:w="5436" w:type="dxa"/>
          </w:tcPr>
          <w:p w:rsidR="00FF491E" w:rsidRPr="006F6473" w:rsidRDefault="001D2303" w:rsidP="000D70DE">
            <w:pPr>
              <w:jc w:val="both"/>
              <w:rPr>
                <w:rFonts w:ascii="Times New Roman" w:eastAsia="MS Mincho" w:hAnsi="Times New Roman"/>
                <w:sz w:val="20"/>
                <w:szCs w:val="20"/>
              </w:rPr>
            </w:pPr>
            <w:r w:rsidRPr="006F6473">
              <w:rPr>
                <w:rFonts w:ascii="Times New Roman" w:eastAsia="MS Mincho" w:hAnsi="Times New Roman"/>
                <w:sz w:val="20"/>
                <w:szCs w:val="20"/>
              </w:rPr>
              <w:t xml:space="preserve">Wyjaśniono, że – jak wynika to dostatecznie jasno z projektowanego przepisu </w:t>
            </w:r>
            <w:r w:rsidR="003A6E4B" w:rsidRPr="006F6473">
              <w:rPr>
                <w:rFonts w:ascii="Times New Roman" w:eastAsia="MS Mincho" w:hAnsi="Times New Roman"/>
                <w:sz w:val="20"/>
                <w:szCs w:val="20"/>
              </w:rPr>
              <w:t>–</w:t>
            </w:r>
            <w:r w:rsidRPr="006F6473">
              <w:rPr>
                <w:rFonts w:ascii="Times New Roman" w:eastAsia="MS Mincho" w:hAnsi="Times New Roman"/>
                <w:sz w:val="20"/>
                <w:szCs w:val="20"/>
              </w:rPr>
              <w:t xml:space="preserve"> </w:t>
            </w:r>
            <w:r w:rsidR="003A6E4B" w:rsidRPr="006F6473">
              <w:rPr>
                <w:rFonts w:ascii="Times New Roman" w:eastAsia="MS Mincho" w:hAnsi="Times New Roman"/>
                <w:sz w:val="20"/>
                <w:szCs w:val="20"/>
              </w:rPr>
              <w:t>prawa przewidziane w tym przepisie przysługują wyłącznie aktualnym, a nie byłym akcjonariuszom (przepi</w:t>
            </w:r>
            <w:r w:rsidR="00596339" w:rsidRPr="006F6473">
              <w:rPr>
                <w:rFonts w:ascii="Times New Roman" w:eastAsia="MS Mincho" w:hAnsi="Times New Roman"/>
                <w:sz w:val="20"/>
                <w:szCs w:val="20"/>
              </w:rPr>
              <w:t>s mówi o „</w:t>
            </w:r>
            <w:r w:rsidR="003A6E4B" w:rsidRPr="006F6473">
              <w:rPr>
                <w:rFonts w:ascii="Times New Roman" w:eastAsia="MS Mincho" w:hAnsi="Times New Roman"/>
                <w:sz w:val="20"/>
                <w:szCs w:val="20"/>
              </w:rPr>
              <w:t xml:space="preserve">akcjonariuszach”, a nie „byłych akcjonariuszach”). Nie ma podstaw do rozszerzającej interpretacji omawianego przepis. </w:t>
            </w:r>
          </w:p>
        </w:tc>
      </w:tr>
      <w:tr w:rsidR="00FF491E" w:rsidRPr="00264CB9"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20.</w:t>
            </w:r>
          </w:p>
        </w:tc>
        <w:tc>
          <w:tcPr>
            <w:tcW w:w="2127" w:type="dxa"/>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8</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line="276" w:lineRule="auto"/>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MC</w:t>
            </w:r>
          </w:p>
        </w:tc>
        <w:tc>
          <w:tcPr>
            <w:tcW w:w="6041" w:type="dxa"/>
          </w:tcPr>
          <w:p w:rsidR="00FF491E" w:rsidRPr="00ED613F" w:rsidRDefault="00FF491E" w:rsidP="00ED613F">
            <w:pPr>
              <w:jc w:val="both"/>
              <w:rPr>
                <w:rFonts w:ascii="Times New Roman" w:eastAsia="MS Mincho" w:hAnsi="Times New Roman"/>
                <w:sz w:val="20"/>
                <w:szCs w:val="20"/>
              </w:rPr>
            </w:pPr>
            <w:proofErr w:type="spellStart"/>
            <w:r w:rsidRPr="00ED613F">
              <w:rPr>
                <w:rFonts w:ascii="Times New Roman" w:eastAsia="MS Mincho" w:hAnsi="Times New Roman"/>
                <w:sz w:val="20"/>
                <w:szCs w:val="20"/>
              </w:rPr>
              <w:t>Uspójnienia</w:t>
            </w:r>
            <w:proofErr w:type="spellEnd"/>
            <w:r w:rsidRPr="00ED613F">
              <w:rPr>
                <w:rFonts w:ascii="Times New Roman" w:eastAsia="MS Mincho" w:hAnsi="Times New Roman"/>
                <w:sz w:val="20"/>
                <w:szCs w:val="20"/>
              </w:rPr>
              <w:t xml:space="preserve"> wymaga siatka pojęciowa w zakresie posługiwania się zwrotami „na piśmie" oraz „pisemnie". Między innymi w art. 328</w:t>
            </w:r>
            <w:r w:rsidRPr="00ED613F">
              <w:rPr>
                <w:rFonts w:ascii="Times New Roman" w:eastAsia="MS Mincho" w:hAnsi="Times New Roman"/>
                <w:sz w:val="20"/>
                <w:szCs w:val="20"/>
                <w:vertAlign w:val="superscript"/>
              </w:rPr>
              <w:t xml:space="preserve">8 </w:t>
            </w:r>
            <w:r w:rsidRPr="00ED613F">
              <w:rPr>
                <w:rFonts w:ascii="Times New Roman" w:eastAsia="MS Mincho" w:hAnsi="Times New Roman"/>
                <w:sz w:val="20"/>
                <w:szCs w:val="20"/>
              </w:rPr>
              <w:t>§ 2 umożliwia się zawiadomienie spółki na piśmie lub drogą elektroniczną, zaś w przypadku tego artykułu w § 3 wskazuje się na wymóg złożenia przez akcjonariusza pisemnego oświadczenia. Niezależnie od tego, że art. 328</w:t>
            </w:r>
            <w:r w:rsidRPr="00ED613F">
              <w:rPr>
                <w:rFonts w:ascii="Times New Roman" w:eastAsia="MS Mincho" w:hAnsi="Times New Roman"/>
                <w:sz w:val="20"/>
                <w:szCs w:val="20"/>
                <w:vertAlign w:val="superscript"/>
              </w:rPr>
              <w:t>8</w:t>
            </w:r>
            <w:r w:rsidRPr="00ED613F">
              <w:rPr>
                <w:rFonts w:ascii="Times New Roman" w:eastAsia="MS Mincho" w:hAnsi="Times New Roman"/>
                <w:sz w:val="20"/>
                <w:szCs w:val="20"/>
              </w:rPr>
              <w:t xml:space="preserve"> § 3 nie odwołuje się wyraźnie do możliwości złożenia oświadczenia w postaci elektronicznej, należy sądzić, że projektowany przepis nie wyklucza możliwości złożenia wskazanego tam </w:t>
            </w:r>
            <w:r w:rsidRPr="00ED613F">
              <w:rPr>
                <w:rFonts w:ascii="Times New Roman" w:eastAsia="MS Mincho" w:hAnsi="Times New Roman"/>
                <w:sz w:val="20"/>
                <w:szCs w:val="20"/>
              </w:rPr>
              <w:lastRenderedPageBreak/>
              <w:t xml:space="preserve">oświadczenia, tak w postaci papierowej, jak i w postaci elektronicznej. Jednak ze względu potrzebę uniknięcia ewentualnych wątpliwości interpretacyjnych należałoby rozważyć </w:t>
            </w:r>
            <w:proofErr w:type="spellStart"/>
            <w:r w:rsidRPr="00ED613F">
              <w:rPr>
                <w:rFonts w:ascii="Times New Roman" w:eastAsia="MS Mincho" w:hAnsi="Times New Roman"/>
                <w:sz w:val="20"/>
                <w:szCs w:val="20"/>
              </w:rPr>
              <w:t>uspójnienie</w:t>
            </w:r>
            <w:proofErr w:type="spellEnd"/>
            <w:r w:rsidRPr="00ED613F">
              <w:rPr>
                <w:rFonts w:ascii="Times New Roman" w:eastAsia="MS Mincho" w:hAnsi="Times New Roman"/>
                <w:sz w:val="20"/>
                <w:szCs w:val="20"/>
              </w:rPr>
              <w:t xml:space="preserve"> projektowanych regulacji we wskazanym wyżej zakresie.</w:t>
            </w:r>
          </w:p>
        </w:tc>
        <w:tc>
          <w:tcPr>
            <w:tcW w:w="5436" w:type="dxa"/>
          </w:tcPr>
          <w:p w:rsidR="00264CB9" w:rsidRPr="006F6473" w:rsidRDefault="00AC6890" w:rsidP="00264CB9">
            <w:pPr>
              <w:jc w:val="both"/>
              <w:rPr>
                <w:rFonts w:ascii="Times New Roman" w:eastAsia="MS Mincho" w:hAnsi="Times New Roman"/>
                <w:sz w:val="20"/>
                <w:szCs w:val="20"/>
              </w:rPr>
            </w:pPr>
            <w:r w:rsidRPr="006F6473">
              <w:rPr>
                <w:rFonts w:ascii="Times New Roman" w:eastAsia="MS Mincho" w:hAnsi="Times New Roman"/>
                <w:sz w:val="20"/>
                <w:szCs w:val="20"/>
              </w:rPr>
              <w:lastRenderedPageBreak/>
              <w:t>Uwaga została uwzględniona: terminologia</w:t>
            </w:r>
            <w:r w:rsidR="00D41F96" w:rsidRPr="006F6473">
              <w:rPr>
                <w:rFonts w:ascii="Times New Roman" w:eastAsia="MS Mincho" w:hAnsi="Times New Roman"/>
                <w:sz w:val="20"/>
                <w:szCs w:val="20"/>
              </w:rPr>
              <w:t>,</w:t>
            </w:r>
            <w:r w:rsidRPr="006F6473">
              <w:rPr>
                <w:rFonts w:ascii="Times New Roman" w:eastAsia="MS Mincho" w:hAnsi="Times New Roman"/>
                <w:sz w:val="20"/>
                <w:szCs w:val="20"/>
              </w:rPr>
              <w:t xml:space="preserve"> w zakresie wskazanym w uwadze</w:t>
            </w:r>
            <w:r w:rsidR="00D41F96" w:rsidRPr="006F6473">
              <w:rPr>
                <w:rFonts w:ascii="Times New Roman" w:eastAsia="MS Mincho" w:hAnsi="Times New Roman"/>
                <w:sz w:val="20"/>
                <w:szCs w:val="20"/>
              </w:rPr>
              <w:t>,</w:t>
            </w:r>
            <w:r w:rsidRPr="006F6473">
              <w:rPr>
                <w:rFonts w:ascii="Times New Roman" w:eastAsia="MS Mincho" w:hAnsi="Times New Roman"/>
                <w:sz w:val="20"/>
                <w:szCs w:val="20"/>
              </w:rPr>
              <w:t xml:space="preserve"> zostanie </w:t>
            </w:r>
            <w:r w:rsidR="001F69F6" w:rsidRPr="006F6473">
              <w:rPr>
                <w:rFonts w:ascii="Times New Roman" w:eastAsia="MS Mincho" w:hAnsi="Times New Roman"/>
                <w:sz w:val="20"/>
                <w:szCs w:val="20"/>
              </w:rPr>
              <w:t xml:space="preserve">zweryfikowana </w:t>
            </w:r>
            <w:r w:rsidR="005A6052" w:rsidRPr="006F6473">
              <w:rPr>
                <w:rFonts w:ascii="Times New Roman" w:eastAsia="MS Mincho" w:hAnsi="Times New Roman"/>
                <w:sz w:val="20"/>
                <w:szCs w:val="20"/>
              </w:rPr>
              <w:t xml:space="preserve">i </w:t>
            </w:r>
            <w:r w:rsidR="00264CB9" w:rsidRPr="006F6473">
              <w:rPr>
                <w:rFonts w:ascii="Times New Roman" w:eastAsia="MS Mincho" w:hAnsi="Times New Roman"/>
                <w:sz w:val="20"/>
                <w:szCs w:val="20"/>
              </w:rPr>
              <w:t>w miarę możliwości „</w:t>
            </w:r>
            <w:proofErr w:type="spellStart"/>
            <w:r w:rsidR="00264CB9" w:rsidRPr="006F6473">
              <w:rPr>
                <w:rFonts w:ascii="Times New Roman" w:eastAsia="MS Mincho" w:hAnsi="Times New Roman"/>
                <w:sz w:val="20"/>
                <w:szCs w:val="20"/>
              </w:rPr>
              <w:t>uspójniona</w:t>
            </w:r>
            <w:proofErr w:type="spellEnd"/>
            <w:r w:rsidR="00264CB9" w:rsidRPr="006F6473">
              <w:rPr>
                <w:rFonts w:ascii="Times New Roman" w:eastAsia="MS Mincho" w:hAnsi="Times New Roman"/>
                <w:sz w:val="20"/>
                <w:szCs w:val="20"/>
              </w:rPr>
              <w:t>”</w:t>
            </w:r>
            <w:r w:rsidRPr="006F6473">
              <w:rPr>
                <w:rFonts w:ascii="Times New Roman" w:eastAsia="MS Mincho" w:hAnsi="Times New Roman"/>
                <w:sz w:val="20"/>
                <w:szCs w:val="20"/>
              </w:rPr>
              <w:t xml:space="preserve"> w całym projekcie, w razie potrzeby także na etapie Komisji Prawniczej.</w:t>
            </w:r>
          </w:p>
          <w:p w:rsidR="003A4674" w:rsidRPr="006F6473" w:rsidRDefault="003A4674" w:rsidP="00264CB9">
            <w:pPr>
              <w:jc w:val="both"/>
              <w:rPr>
                <w:rFonts w:ascii="Times New Roman" w:eastAsia="MS Mincho" w:hAnsi="Times New Roman"/>
                <w:sz w:val="20"/>
                <w:szCs w:val="20"/>
              </w:rPr>
            </w:pPr>
            <w:r w:rsidRPr="006F6473">
              <w:rPr>
                <w:rFonts w:ascii="Times New Roman" w:eastAsia="MS Mincho" w:hAnsi="Times New Roman"/>
                <w:sz w:val="20"/>
                <w:szCs w:val="20"/>
              </w:rPr>
              <w:t>Nadto w §</w:t>
            </w:r>
            <w:r w:rsidR="00ED7464" w:rsidRPr="006F6473">
              <w:rPr>
                <w:rFonts w:ascii="Times New Roman" w:eastAsia="MS Mincho" w:hAnsi="Times New Roman"/>
                <w:sz w:val="20"/>
                <w:szCs w:val="20"/>
              </w:rPr>
              <w:t xml:space="preserve"> 2 omawianego artykułu</w:t>
            </w:r>
            <w:r w:rsidRPr="006F6473">
              <w:rPr>
                <w:rFonts w:ascii="Times New Roman" w:eastAsia="MS Mincho" w:hAnsi="Times New Roman"/>
                <w:sz w:val="20"/>
                <w:szCs w:val="20"/>
              </w:rPr>
              <w:t xml:space="preserve"> w ogóle nie będzie narzucana forma zawiadomienia </w:t>
            </w:r>
            <w:r w:rsidR="00ED7464" w:rsidRPr="006F6473">
              <w:rPr>
                <w:rFonts w:ascii="Times New Roman" w:eastAsia="MS Mincho" w:hAnsi="Times New Roman"/>
                <w:sz w:val="20"/>
                <w:szCs w:val="20"/>
              </w:rPr>
              <w:t>spółki przez wystawiającego – analogiczny przepis art. 12 ust. 3 ustawy o obrocie nie zawiera w tym zakresie żadnych ograniczeń</w:t>
            </w:r>
            <w:r w:rsidR="002E1319" w:rsidRPr="006F6473">
              <w:rPr>
                <w:rFonts w:ascii="Times New Roman" w:eastAsia="MS Mincho" w:hAnsi="Times New Roman"/>
                <w:sz w:val="20"/>
                <w:szCs w:val="20"/>
              </w:rPr>
              <w:t>.</w:t>
            </w:r>
            <w:r w:rsidR="00ED7464" w:rsidRPr="006F6473">
              <w:rPr>
                <w:rFonts w:ascii="Times New Roman" w:eastAsia="MS Mincho" w:hAnsi="Times New Roman"/>
                <w:sz w:val="20"/>
                <w:szCs w:val="20"/>
              </w:rPr>
              <w:t xml:space="preserve"> </w:t>
            </w:r>
          </w:p>
          <w:p w:rsidR="00FF491E" w:rsidRPr="006F6473" w:rsidRDefault="00FF491E" w:rsidP="00C130D7">
            <w:pPr>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jc w:val="center"/>
              <w:rPr>
                <w:rFonts w:ascii="Times New Roman" w:eastAsia="MS Mincho" w:hAnsi="Times New Roman"/>
                <w:sz w:val="20"/>
                <w:szCs w:val="20"/>
              </w:rPr>
            </w:pPr>
            <w:r w:rsidRPr="00ED613F">
              <w:rPr>
                <w:rFonts w:ascii="Times New Roman" w:eastAsia="MS Mincho" w:hAnsi="Times New Roman"/>
                <w:sz w:val="20"/>
                <w:szCs w:val="20"/>
              </w:rPr>
              <w:lastRenderedPageBreak/>
              <w:t>21.</w:t>
            </w:r>
          </w:p>
        </w:tc>
        <w:tc>
          <w:tcPr>
            <w:tcW w:w="2127" w:type="dxa"/>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9</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line="276" w:lineRule="auto"/>
              <w:jc w:val="center"/>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Niezbędne jest, dla potrzeb podatkowych, określenie w sposób nie budzący wątpliwości, momentu nabycia praw do zdematerializowanych akcji, w szczególności w sytuacji ich przeniesienia na kolejnego właściciela. Zgodnie z propozycją art. 328</w:t>
            </w:r>
            <w:r w:rsidRPr="00ED613F">
              <w:rPr>
                <w:rFonts w:ascii="Times New Roman" w:eastAsia="MS Mincho" w:hAnsi="Times New Roman"/>
                <w:sz w:val="20"/>
                <w:szCs w:val="20"/>
                <w:vertAlign w:val="superscript"/>
              </w:rPr>
              <w:t>9</w:t>
            </w:r>
            <w:r w:rsidRPr="00ED613F">
              <w:rPr>
                <w:rFonts w:ascii="Times New Roman" w:eastAsia="MS Mincho" w:hAnsi="Times New Roman"/>
                <w:sz w:val="20"/>
                <w:szCs w:val="20"/>
              </w:rPr>
              <w:t xml:space="preserve"> w projekcie przyjęto zasadę, że przeniesienie akcji zdematerializowanej lub ustanowienie na niej ograniczonego prawa rzeczowego następuje z chwilą dokonania w rejestrze akcjonariuszy wpisu wskazującego nabywcę albo zastawnika lub użytkownika oraz liczbę, rodzaj i serię nabytych albo obciążonych akcji. To rozwiązanie odpowiadałoby rozwiązaniu przyjętemu obecnie w odniesieniu do akcji dopuszczonych do publicznego obrotu (art. 7 ust. 2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w:t>
            </w:r>
          </w:p>
        </w:tc>
        <w:tc>
          <w:tcPr>
            <w:tcW w:w="5436" w:type="dxa"/>
          </w:tcPr>
          <w:p w:rsidR="00914AE3" w:rsidRPr="006F6473" w:rsidRDefault="00CB7700" w:rsidP="005008EB">
            <w:pPr>
              <w:jc w:val="both"/>
              <w:rPr>
                <w:rFonts w:ascii="Times New Roman" w:eastAsia="MS Mincho" w:hAnsi="Times New Roman"/>
                <w:sz w:val="20"/>
              </w:rPr>
            </w:pPr>
            <w:r w:rsidRPr="006F6473">
              <w:rPr>
                <w:rFonts w:ascii="Times New Roman" w:eastAsia="MS Mincho" w:hAnsi="Times New Roman"/>
                <w:sz w:val="20"/>
              </w:rPr>
              <w:t xml:space="preserve">Wyjaśniono, że </w:t>
            </w:r>
            <w:r w:rsidR="00E8572B" w:rsidRPr="006F6473">
              <w:rPr>
                <w:rFonts w:ascii="Times New Roman" w:eastAsia="MS Mincho" w:hAnsi="Times New Roman"/>
                <w:sz w:val="20"/>
              </w:rPr>
              <w:t xml:space="preserve">w pierwotnym założeniu </w:t>
            </w:r>
            <w:r w:rsidR="006722CA" w:rsidRPr="006F6473">
              <w:rPr>
                <w:rFonts w:ascii="Times New Roman" w:eastAsia="MS Mincho" w:hAnsi="Times New Roman"/>
                <w:sz w:val="20"/>
              </w:rPr>
              <w:t xml:space="preserve">omawiany przepis </w:t>
            </w:r>
            <w:r w:rsidR="00E8572B" w:rsidRPr="006F6473">
              <w:rPr>
                <w:rFonts w:ascii="Times New Roman" w:eastAsia="MS Mincho" w:hAnsi="Times New Roman"/>
                <w:sz w:val="20"/>
              </w:rPr>
              <w:t xml:space="preserve">miał stanowić </w:t>
            </w:r>
            <w:r w:rsidR="006722CA" w:rsidRPr="006F6473">
              <w:rPr>
                <w:rFonts w:ascii="Times New Roman" w:eastAsia="MS Mincho" w:hAnsi="Times New Roman"/>
                <w:sz w:val="20"/>
              </w:rPr>
              <w:t>odpowiednik art. 7 ust. 2 ustawy o obrocie</w:t>
            </w:r>
            <w:r w:rsidR="005008EB" w:rsidRPr="006F6473">
              <w:rPr>
                <w:rFonts w:ascii="Times New Roman" w:eastAsia="MS Mincho" w:hAnsi="Times New Roman"/>
                <w:sz w:val="20"/>
              </w:rPr>
              <w:t>, a wię</w:t>
            </w:r>
            <w:r w:rsidR="006722CA" w:rsidRPr="006F6473">
              <w:rPr>
                <w:rFonts w:ascii="Times New Roman" w:eastAsia="MS Mincho" w:hAnsi="Times New Roman"/>
                <w:sz w:val="20"/>
              </w:rPr>
              <w:t>c jego zakres obejm</w:t>
            </w:r>
            <w:r w:rsidR="00E8572B" w:rsidRPr="006F6473">
              <w:rPr>
                <w:rFonts w:ascii="Times New Roman" w:eastAsia="MS Mincho" w:hAnsi="Times New Roman"/>
                <w:sz w:val="20"/>
              </w:rPr>
              <w:t>owałby</w:t>
            </w:r>
            <w:r w:rsidR="006722CA" w:rsidRPr="006F6473">
              <w:rPr>
                <w:rFonts w:ascii="Times New Roman" w:eastAsia="MS Mincho" w:hAnsi="Times New Roman"/>
                <w:sz w:val="20"/>
              </w:rPr>
              <w:t xml:space="preserve"> nabycie akcji </w:t>
            </w:r>
            <w:r w:rsidR="005008EB" w:rsidRPr="006F6473">
              <w:rPr>
                <w:rFonts w:ascii="Times New Roman" w:eastAsia="MS Mincho" w:hAnsi="Times New Roman"/>
                <w:sz w:val="20"/>
              </w:rPr>
              <w:t xml:space="preserve">w drodze ich </w:t>
            </w:r>
            <w:r w:rsidR="00EF32E5" w:rsidRPr="006F6473">
              <w:rPr>
                <w:rFonts w:ascii="Times New Roman" w:eastAsia="MS Mincho" w:hAnsi="Times New Roman"/>
                <w:sz w:val="20"/>
              </w:rPr>
              <w:t>przeniesienia poprzez czynność prawną zobowiązując</w:t>
            </w:r>
            <w:r w:rsidR="00FD2CCA" w:rsidRPr="006F6473">
              <w:rPr>
                <w:rFonts w:ascii="Times New Roman" w:eastAsia="MS Mincho" w:hAnsi="Times New Roman"/>
                <w:sz w:val="20"/>
              </w:rPr>
              <w:t>ą</w:t>
            </w:r>
            <w:r w:rsidR="00EF32E5" w:rsidRPr="006F6473">
              <w:rPr>
                <w:rFonts w:ascii="Times New Roman" w:eastAsia="MS Mincho" w:hAnsi="Times New Roman"/>
                <w:sz w:val="20"/>
              </w:rPr>
              <w:t xml:space="preserve"> do przeniesienia akcji</w:t>
            </w:r>
            <w:r w:rsidR="00FD2CCA" w:rsidRPr="006F6473">
              <w:rPr>
                <w:rFonts w:ascii="Times New Roman" w:eastAsia="MS Mincho" w:hAnsi="Times New Roman"/>
                <w:sz w:val="20"/>
              </w:rPr>
              <w:t>. W takich przypadkach nabycie</w:t>
            </w:r>
            <w:r w:rsidR="00EF32E5" w:rsidRPr="006F6473">
              <w:rPr>
                <w:rFonts w:ascii="Times New Roman" w:eastAsia="MS Mincho" w:hAnsi="Times New Roman"/>
                <w:sz w:val="20"/>
              </w:rPr>
              <w:t xml:space="preserve"> akcji</w:t>
            </w:r>
            <w:r w:rsidR="00FD2CCA" w:rsidRPr="006F6473">
              <w:rPr>
                <w:rFonts w:ascii="Times New Roman" w:eastAsia="MS Mincho" w:hAnsi="Times New Roman"/>
                <w:sz w:val="20"/>
              </w:rPr>
              <w:t xml:space="preserve"> </w:t>
            </w:r>
            <w:r w:rsidR="00914AE3" w:rsidRPr="006F6473">
              <w:rPr>
                <w:rFonts w:ascii="Times New Roman" w:eastAsia="MS Mincho" w:hAnsi="Times New Roman"/>
                <w:sz w:val="20"/>
              </w:rPr>
              <w:t>następuje</w:t>
            </w:r>
            <w:r w:rsidR="00253539" w:rsidRPr="006F6473">
              <w:rPr>
                <w:rFonts w:ascii="Times New Roman" w:eastAsia="MS Mincho" w:hAnsi="Times New Roman"/>
                <w:sz w:val="20"/>
              </w:rPr>
              <w:t xml:space="preserve"> z chwilą</w:t>
            </w:r>
            <w:r w:rsidR="00914AE3" w:rsidRPr="006F6473">
              <w:rPr>
                <w:rFonts w:ascii="Times New Roman" w:eastAsia="MS Mincho" w:hAnsi="Times New Roman"/>
                <w:sz w:val="20"/>
              </w:rPr>
              <w:t xml:space="preserve"> dokonania odpowiedniego wpisu w rejestrze akcjonariuszy. </w:t>
            </w:r>
          </w:p>
          <w:p w:rsidR="00ED5BD3" w:rsidRPr="006F6473" w:rsidRDefault="00914AE3" w:rsidP="00253539">
            <w:pPr>
              <w:jc w:val="both"/>
              <w:rPr>
                <w:rFonts w:ascii="Times New Roman" w:eastAsia="MS Mincho" w:hAnsi="Times New Roman"/>
                <w:sz w:val="20"/>
              </w:rPr>
            </w:pPr>
            <w:r w:rsidRPr="006F6473">
              <w:rPr>
                <w:rFonts w:ascii="Times New Roman" w:eastAsia="MS Mincho" w:hAnsi="Times New Roman"/>
                <w:sz w:val="20"/>
              </w:rPr>
              <w:t>Przepis ten nie dotyczy</w:t>
            </w:r>
            <w:r w:rsidR="00E8572B" w:rsidRPr="006F6473">
              <w:rPr>
                <w:rFonts w:ascii="Times New Roman" w:eastAsia="MS Mincho" w:hAnsi="Times New Roman"/>
                <w:sz w:val="20"/>
              </w:rPr>
              <w:t>łby</w:t>
            </w:r>
            <w:r w:rsidRPr="006F6473">
              <w:rPr>
                <w:rFonts w:ascii="Times New Roman" w:eastAsia="MS Mincho" w:hAnsi="Times New Roman"/>
                <w:sz w:val="20"/>
              </w:rPr>
              <w:t xml:space="preserve"> natomiast przypadków, w których przejście – nabycie akcji następuje </w:t>
            </w:r>
            <w:r w:rsidR="00881609" w:rsidRPr="006F6473">
              <w:rPr>
                <w:rFonts w:ascii="Times New Roman" w:eastAsia="MS Mincho" w:hAnsi="Times New Roman"/>
                <w:sz w:val="20"/>
              </w:rPr>
              <w:t xml:space="preserve">w wyniku zdarzeń prawnych, które </w:t>
            </w:r>
            <w:r w:rsidR="00A36A06" w:rsidRPr="006F6473">
              <w:rPr>
                <w:rFonts w:ascii="Times New Roman" w:eastAsia="MS Mincho" w:hAnsi="Times New Roman"/>
                <w:sz w:val="20"/>
              </w:rPr>
              <w:t>ex lege powodują przejście</w:t>
            </w:r>
            <w:r w:rsidR="00530F8F" w:rsidRPr="006F6473">
              <w:rPr>
                <w:rFonts w:ascii="Times New Roman" w:eastAsia="MS Mincho" w:hAnsi="Times New Roman"/>
                <w:sz w:val="20"/>
              </w:rPr>
              <w:t xml:space="preserve"> ogółu praw i obowiązków poprzednika, w tym</w:t>
            </w:r>
            <w:r w:rsidR="00A36A06" w:rsidRPr="006F6473">
              <w:rPr>
                <w:rFonts w:ascii="Times New Roman" w:eastAsia="MS Mincho" w:hAnsi="Times New Roman"/>
                <w:sz w:val="20"/>
              </w:rPr>
              <w:t xml:space="preserve"> akcji </w:t>
            </w:r>
            <w:r w:rsidR="00530F8F" w:rsidRPr="006F6473">
              <w:rPr>
                <w:rFonts w:ascii="Times New Roman" w:eastAsia="MS Mincho" w:hAnsi="Times New Roman"/>
                <w:sz w:val="20"/>
              </w:rPr>
              <w:t>na inną osobę w momencie określonym przez przepisy regulujące te zdarzenia prawne (np. nabycie w drodze dziedziczenia, art.</w:t>
            </w:r>
            <w:r w:rsidR="00376B64" w:rsidRPr="006F6473">
              <w:rPr>
                <w:rFonts w:ascii="Times New Roman" w:eastAsia="MS Mincho" w:hAnsi="Times New Roman"/>
                <w:sz w:val="20"/>
              </w:rPr>
              <w:t xml:space="preserve"> 922</w:t>
            </w:r>
            <w:r w:rsidR="00530F8F" w:rsidRPr="006F6473">
              <w:rPr>
                <w:rFonts w:ascii="Times New Roman" w:eastAsia="MS Mincho" w:hAnsi="Times New Roman"/>
                <w:sz w:val="20"/>
              </w:rPr>
              <w:t xml:space="preserve"> k.c.</w:t>
            </w:r>
            <w:r w:rsidR="00376B64" w:rsidRPr="006F6473">
              <w:rPr>
                <w:rFonts w:ascii="Times New Roman" w:eastAsia="MS Mincho" w:hAnsi="Times New Roman"/>
                <w:sz w:val="20"/>
              </w:rPr>
              <w:t xml:space="preserve">; nabycie w drodze przejęcia spółki, art. 494 </w:t>
            </w:r>
            <w:proofErr w:type="spellStart"/>
            <w:r w:rsidR="00376B64" w:rsidRPr="006F6473">
              <w:rPr>
                <w:rFonts w:ascii="Times New Roman" w:eastAsia="MS Mincho" w:hAnsi="Times New Roman"/>
                <w:sz w:val="20"/>
              </w:rPr>
              <w:t>k.s.h</w:t>
            </w:r>
            <w:proofErr w:type="spellEnd"/>
            <w:r w:rsidR="00376B64" w:rsidRPr="006F6473">
              <w:rPr>
                <w:rFonts w:ascii="Times New Roman" w:eastAsia="MS Mincho" w:hAnsi="Times New Roman"/>
                <w:sz w:val="20"/>
              </w:rPr>
              <w:t>.)</w:t>
            </w:r>
            <w:r w:rsidR="00594B51" w:rsidRPr="006F6473">
              <w:rPr>
                <w:rFonts w:ascii="Times New Roman" w:eastAsia="MS Mincho" w:hAnsi="Times New Roman"/>
                <w:sz w:val="20"/>
              </w:rPr>
              <w:t>.</w:t>
            </w:r>
          </w:p>
          <w:p w:rsidR="003D4EE2" w:rsidRPr="006F6473" w:rsidRDefault="00166D17" w:rsidP="003D4EE2">
            <w:pPr>
              <w:jc w:val="both"/>
              <w:rPr>
                <w:rFonts w:ascii="Times New Roman" w:eastAsia="MS Mincho" w:hAnsi="Times New Roman"/>
                <w:sz w:val="20"/>
              </w:rPr>
            </w:pPr>
            <w:r w:rsidRPr="006F6473">
              <w:rPr>
                <w:rFonts w:ascii="Times New Roman" w:eastAsia="MS Mincho" w:hAnsi="Times New Roman"/>
                <w:sz w:val="20"/>
              </w:rPr>
              <w:t xml:space="preserve">Po dodatkowej analizie zdecydowano, że </w:t>
            </w:r>
            <w:r w:rsidR="001052AF" w:rsidRPr="006F6473">
              <w:rPr>
                <w:rFonts w:ascii="Times New Roman" w:eastAsia="MS Mincho" w:hAnsi="Times New Roman"/>
                <w:sz w:val="20"/>
              </w:rPr>
              <w:t>d</w:t>
            </w:r>
            <w:r w:rsidR="00BD63D7" w:rsidRPr="006F6473">
              <w:rPr>
                <w:rFonts w:ascii="Times New Roman" w:eastAsia="MS Mincho" w:hAnsi="Times New Roman"/>
                <w:sz w:val="20"/>
              </w:rPr>
              <w:t xml:space="preserve">la uniknięcia </w:t>
            </w:r>
            <w:r w:rsidR="00064AF0" w:rsidRPr="006F6473">
              <w:rPr>
                <w:rFonts w:ascii="Times New Roman" w:eastAsia="MS Mincho" w:hAnsi="Times New Roman"/>
                <w:sz w:val="20"/>
              </w:rPr>
              <w:t xml:space="preserve">wszelkich </w:t>
            </w:r>
            <w:r w:rsidR="00BD63D7" w:rsidRPr="006F6473">
              <w:rPr>
                <w:rFonts w:ascii="Times New Roman" w:eastAsia="MS Mincho" w:hAnsi="Times New Roman"/>
                <w:sz w:val="20"/>
              </w:rPr>
              <w:t xml:space="preserve">wątpliwości </w:t>
            </w:r>
            <w:r w:rsidR="00064AF0" w:rsidRPr="006F6473">
              <w:rPr>
                <w:rFonts w:ascii="Times New Roman" w:eastAsia="MS Mincho" w:hAnsi="Times New Roman"/>
                <w:sz w:val="20"/>
              </w:rPr>
              <w:t>projektowany art. 328</w:t>
            </w:r>
            <w:r w:rsidR="00064AF0" w:rsidRPr="006F6473">
              <w:rPr>
                <w:rFonts w:ascii="Times New Roman" w:eastAsia="MS Mincho" w:hAnsi="Times New Roman"/>
                <w:sz w:val="20"/>
                <w:vertAlign w:val="superscript"/>
              </w:rPr>
              <w:t>9</w:t>
            </w:r>
            <w:r w:rsidR="00BD63D7" w:rsidRPr="006F6473">
              <w:rPr>
                <w:rFonts w:ascii="Times New Roman" w:eastAsia="MS Mincho" w:hAnsi="Times New Roman"/>
                <w:sz w:val="20"/>
              </w:rPr>
              <w:t xml:space="preserve"> ten zostanie </w:t>
            </w:r>
            <w:r w:rsidR="00064AF0" w:rsidRPr="006F6473">
              <w:rPr>
                <w:rFonts w:ascii="Times New Roman" w:eastAsia="MS Mincho" w:hAnsi="Times New Roman"/>
                <w:sz w:val="20"/>
              </w:rPr>
              <w:t xml:space="preserve">rozbudowany o </w:t>
            </w:r>
            <w:r w:rsidR="003D4EE2" w:rsidRPr="006F6473">
              <w:rPr>
                <w:rFonts w:ascii="Times New Roman" w:eastAsia="MS Mincho" w:hAnsi="Times New Roman"/>
                <w:sz w:val="20"/>
              </w:rPr>
              <w:t>§ 2, w k</w:t>
            </w:r>
            <w:r w:rsidR="00064AF0" w:rsidRPr="006F6473">
              <w:rPr>
                <w:rFonts w:ascii="Times New Roman" w:eastAsia="MS Mincho" w:hAnsi="Times New Roman"/>
                <w:sz w:val="20"/>
              </w:rPr>
              <w:t>tórym zostaną wskazane przypadki</w:t>
            </w:r>
            <w:r w:rsidR="003D4EE2" w:rsidRPr="006F6473">
              <w:rPr>
                <w:rFonts w:ascii="Times New Roman" w:eastAsia="MS Mincho" w:hAnsi="Times New Roman"/>
                <w:sz w:val="20"/>
              </w:rPr>
              <w:t xml:space="preserve">, </w:t>
            </w:r>
            <w:r w:rsidR="005456B6" w:rsidRPr="006F6473">
              <w:rPr>
                <w:rFonts w:ascii="Times New Roman" w:eastAsia="MS Mincho" w:hAnsi="Times New Roman"/>
                <w:sz w:val="20"/>
              </w:rPr>
              <w:t xml:space="preserve">gdy </w:t>
            </w:r>
            <w:r w:rsidR="003D4EE2" w:rsidRPr="006F6473">
              <w:rPr>
                <w:rFonts w:ascii="Times New Roman" w:eastAsia="MS Mincho" w:hAnsi="Times New Roman"/>
                <w:sz w:val="20"/>
              </w:rPr>
              <w:t xml:space="preserve">nabycie akcji </w:t>
            </w:r>
            <w:r w:rsidR="00E900B9" w:rsidRPr="006F6473">
              <w:rPr>
                <w:rFonts w:ascii="Times New Roman" w:eastAsia="MS Mincho" w:hAnsi="Times New Roman"/>
                <w:sz w:val="20"/>
              </w:rPr>
              <w:t xml:space="preserve">nie jest </w:t>
            </w:r>
            <w:r w:rsidR="005456B6" w:rsidRPr="006F6473">
              <w:rPr>
                <w:rFonts w:ascii="Times New Roman" w:eastAsia="MS Mincho" w:hAnsi="Times New Roman"/>
                <w:sz w:val="20"/>
              </w:rPr>
              <w:t xml:space="preserve">uwarunkowane </w:t>
            </w:r>
            <w:r w:rsidR="009A06FE" w:rsidRPr="006F6473">
              <w:rPr>
                <w:rFonts w:ascii="Times New Roman" w:eastAsia="MS Mincho" w:hAnsi="Times New Roman"/>
                <w:sz w:val="20"/>
              </w:rPr>
              <w:t>wpisem do rejestru akcjonariuszy.</w:t>
            </w:r>
          </w:p>
          <w:p w:rsidR="003D4EE2" w:rsidRPr="006F6473" w:rsidRDefault="003D4EE2" w:rsidP="003D4EE2">
            <w:pPr>
              <w:jc w:val="both"/>
              <w:rPr>
                <w:rFonts w:ascii="Times New Roman" w:eastAsia="MS Mincho" w:hAnsi="Times New Roman"/>
                <w:sz w:val="20"/>
              </w:rPr>
            </w:pPr>
            <w:r w:rsidRPr="006F6473">
              <w:rPr>
                <w:rFonts w:ascii="Times New Roman" w:eastAsia="MS Mincho" w:hAnsi="Times New Roman"/>
                <w:sz w:val="20"/>
              </w:rPr>
              <w:t>Kwestia ta zostanie też wyjaśniona w uzasadnieniu do projektu.</w:t>
            </w:r>
          </w:p>
          <w:p w:rsidR="00BD63D7" w:rsidRPr="006F6473" w:rsidRDefault="00BD63D7" w:rsidP="00BD63D7">
            <w:pPr>
              <w:jc w:val="both"/>
              <w:rPr>
                <w:rFonts w:ascii="Times New Roman" w:eastAsia="MS Mincho" w:hAnsi="Times New Roman"/>
                <w:sz w:val="20"/>
              </w:rPr>
            </w:pPr>
          </w:p>
          <w:p w:rsidR="007E0692" w:rsidRPr="006F6473" w:rsidRDefault="007E0692" w:rsidP="001052AF">
            <w:pPr>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jc w:val="center"/>
              <w:rPr>
                <w:rFonts w:ascii="Times New Roman" w:eastAsia="MS Mincho" w:hAnsi="Times New Roman"/>
                <w:sz w:val="20"/>
                <w:szCs w:val="20"/>
              </w:rPr>
            </w:pPr>
            <w:r w:rsidRPr="00ED613F">
              <w:rPr>
                <w:rFonts w:ascii="Times New Roman" w:eastAsia="MS Mincho" w:hAnsi="Times New Roman"/>
                <w:sz w:val="20"/>
                <w:szCs w:val="20"/>
              </w:rPr>
              <w:t>22.</w:t>
            </w:r>
          </w:p>
        </w:tc>
        <w:tc>
          <w:tcPr>
            <w:tcW w:w="2127" w:type="dxa"/>
            <w:vMerge w:val="restart"/>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r w:rsidRPr="00ED613F">
              <w:rPr>
                <w:rFonts w:ascii="Times New Roman" w:eastAsia="MS Mincho" w:hAnsi="Times New Roman"/>
                <w:b/>
                <w:sz w:val="20"/>
                <w:szCs w:val="20"/>
                <w:lang w:val="de-DE"/>
              </w:rPr>
              <w:b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11</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before="200" w:after="200" w:line="276" w:lineRule="auto"/>
              <w:jc w:val="center"/>
              <w:rPr>
                <w:rFonts w:ascii="Times New Roman" w:eastAsia="MS Mincho" w:hAnsi="Times New Roman"/>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Jak uwaga do art. 1 pkt 1. </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Wskazana jest analiza wzajemnej spójności projektowanego art. 328</w:t>
            </w:r>
            <w:r w:rsidRPr="00ED613F">
              <w:rPr>
                <w:rFonts w:ascii="Times New Roman" w:eastAsia="MS Mincho" w:hAnsi="Times New Roman"/>
                <w:sz w:val="20"/>
                <w:szCs w:val="20"/>
                <w:vertAlign w:val="superscript"/>
              </w:rPr>
              <w:t>11</w:t>
            </w:r>
            <w:r w:rsidRPr="00ED613F">
              <w:rPr>
                <w:rFonts w:ascii="Times New Roman" w:eastAsia="MS Mincho" w:hAnsi="Times New Roman"/>
                <w:sz w:val="20"/>
                <w:szCs w:val="20"/>
              </w:rPr>
              <w:t xml:space="preserve"> § 1 oraz projektowanego art. 4 § 1 pkt 6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w:t>
            </w:r>
          </w:p>
        </w:tc>
        <w:tc>
          <w:tcPr>
            <w:tcW w:w="5436" w:type="dxa"/>
          </w:tcPr>
          <w:p w:rsidR="00FF491E" w:rsidRPr="006F6473" w:rsidRDefault="00ED3E7C" w:rsidP="00ED3E7C">
            <w:pPr>
              <w:spacing w:line="276" w:lineRule="auto"/>
              <w:rPr>
                <w:rFonts w:ascii="Times New Roman" w:eastAsia="MS Mincho" w:hAnsi="Times New Roman"/>
                <w:sz w:val="20"/>
                <w:szCs w:val="20"/>
              </w:rPr>
            </w:pPr>
            <w:r w:rsidRPr="006F6473">
              <w:rPr>
                <w:rFonts w:ascii="Times New Roman" w:eastAsia="MS Mincho" w:hAnsi="Times New Roman"/>
                <w:sz w:val="20"/>
                <w:szCs w:val="20"/>
              </w:rPr>
              <w:t>Uwaga został</w:t>
            </w:r>
            <w:r w:rsidR="008F2E00" w:rsidRPr="006F6473">
              <w:rPr>
                <w:rFonts w:ascii="Times New Roman" w:eastAsia="MS Mincho" w:hAnsi="Times New Roman"/>
                <w:sz w:val="20"/>
                <w:szCs w:val="20"/>
              </w:rPr>
              <w:t>a</w:t>
            </w:r>
            <w:r w:rsidRPr="006F6473">
              <w:rPr>
                <w:rFonts w:ascii="Times New Roman" w:eastAsia="MS Mincho" w:hAnsi="Times New Roman"/>
                <w:sz w:val="20"/>
                <w:szCs w:val="20"/>
              </w:rPr>
              <w:t xml:space="preserve"> uwzględniona: vide</w:t>
            </w:r>
            <w:r w:rsidR="00D73A4C" w:rsidRPr="006F6473">
              <w:rPr>
                <w:rFonts w:ascii="Times New Roman" w:eastAsia="MS Mincho" w:hAnsi="Times New Roman"/>
                <w:sz w:val="20"/>
                <w:szCs w:val="20"/>
              </w:rPr>
              <w:t xml:space="preserve"> ustalenia w związku z uwagą </w:t>
            </w:r>
            <w:r w:rsidR="008F2E00" w:rsidRPr="006F6473">
              <w:rPr>
                <w:rFonts w:ascii="Times New Roman" w:eastAsia="MS Mincho" w:hAnsi="Times New Roman"/>
                <w:sz w:val="20"/>
                <w:szCs w:val="20"/>
              </w:rPr>
              <w:t xml:space="preserve">z pkt 6 niniejszej tabeli oraz </w:t>
            </w:r>
            <w:r w:rsidR="001B3348" w:rsidRPr="006F6473">
              <w:rPr>
                <w:rFonts w:ascii="Times New Roman" w:eastAsia="MS Mincho" w:hAnsi="Times New Roman"/>
                <w:sz w:val="20"/>
                <w:szCs w:val="20"/>
              </w:rPr>
              <w:t xml:space="preserve">uwagą </w:t>
            </w:r>
            <w:r w:rsidR="00D73A4C" w:rsidRPr="006F6473">
              <w:rPr>
                <w:rFonts w:ascii="Times New Roman" w:eastAsia="MS Mincho" w:hAnsi="Times New Roman"/>
                <w:sz w:val="20"/>
                <w:szCs w:val="20"/>
              </w:rPr>
              <w:t>z pkt 7 tabeli z konsultacji.</w:t>
            </w:r>
          </w:p>
        </w:tc>
      </w:tr>
      <w:tr w:rsidR="00FF491E" w:rsidRPr="00ED613F" w:rsidTr="00ED613F">
        <w:tc>
          <w:tcPr>
            <w:tcW w:w="572" w:type="dxa"/>
          </w:tcPr>
          <w:p w:rsidR="00FF491E" w:rsidRPr="00ED613F" w:rsidRDefault="00FF491E" w:rsidP="00ED613F">
            <w:pPr>
              <w:spacing w:line="276" w:lineRule="auto"/>
              <w:jc w:val="center"/>
              <w:rPr>
                <w:rFonts w:ascii="Times New Roman" w:eastAsia="MS Mincho" w:hAnsi="Times New Roman"/>
                <w:sz w:val="20"/>
                <w:szCs w:val="20"/>
              </w:rPr>
            </w:pPr>
            <w:r w:rsidRPr="00ED613F">
              <w:rPr>
                <w:rFonts w:ascii="Times New Roman" w:eastAsia="MS Mincho" w:hAnsi="Times New Roman"/>
                <w:sz w:val="20"/>
                <w:szCs w:val="20"/>
              </w:rPr>
              <w:t>23.</w:t>
            </w:r>
          </w:p>
        </w:tc>
        <w:tc>
          <w:tcPr>
            <w:tcW w:w="2127" w:type="dxa"/>
            <w:vMerge/>
          </w:tcPr>
          <w:p w:rsidR="00FF491E" w:rsidRPr="00ED613F" w:rsidRDefault="00FF491E" w:rsidP="00ED613F">
            <w:pPr>
              <w:spacing w:line="276" w:lineRule="auto"/>
              <w:jc w:val="center"/>
              <w:rPr>
                <w:rFonts w:ascii="Times New Roman" w:eastAsia="MS Mincho" w:hAnsi="Times New Roman"/>
                <w:b/>
                <w:sz w:val="20"/>
                <w:szCs w:val="20"/>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Zgodnie z projektowanym art. 328</w:t>
            </w:r>
            <w:r w:rsidRPr="00ED613F">
              <w:rPr>
                <w:rFonts w:ascii="Times New Roman" w:eastAsia="MS Mincho" w:hAnsi="Times New Roman"/>
                <w:sz w:val="20"/>
                <w:szCs w:val="20"/>
                <w:vertAlign w:val="superscript"/>
              </w:rPr>
              <w:t>11</w:t>
            </w:r>
            <w:r w:rsidRPr="00ED613F">
              <w:rPr>
                <w:rFonts w:ascii="Times New Roman" w:eastAsia="MS Mincho" w:hAnsi="Times New Roman"/>
                <w:sz w:val="20"/>
                <w:szCs w:val="20"/>
              </w:rPr>
              <w:t xml:space="preserve"> § 2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dematerializację akcji spółki niepublicznej, które mają być zarejestrowane w depozycie papierów wartościowych, oraz spółki publicznej, a także wynikające stąd skutki prawne dla spółki i akcjonariusza, regulują przepisy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 xml:space="preserve">., chyba że ustawa stanowi inaczej. Zastrzeżenie zawarte w tym przepisie rodzi szereg wątpliwości chociażby co do możliwości dalszego stosowania przepisów art. 9 - 12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 odnoszących się do świadectwa depozytowego, skoro projektowana ustawa dla potwierdzenia legitymacji do realizacji uprawnień wynikających z akcji posługuje się pojęciem imiennego świadectwa rejestrowego (świadectwa rejestrowego).</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Należy zwrócić uwagę, że rozdział 5 ustawy o ofercie publicznej i warunkach wprowadzania instrumentów finansowych do </w:t>
            </w:r>
            <w:r w:rsidRPr="00ED613F">
              <w:rPr>
                <w:rFonts w:ascii="Times New Roman" w:eastAsia="MS Mincho" w:hAnsi="Times New Roman"/>
                <w:sz w:val="20"/>
                <w:szCs w:val="20"/>
              </w:rPr>
              <w:lastRenderedPageBreak/>
              <w:t>zorganizowanego systemu obrotu oraz o spółkach publicznych, regulujący kwestie odnoszące się do zniesienia dematerializacji akcji, przewiduje przepisy regulujące kwestię zarówno dobrowolnego, jak i obligatoryjnego przywrócenia akcjom formy dokumentu. Wobec projektowanych zmian w zakresie braku możliwości funkcjonowania w obiegu akcji w formie dokumentu zasadna jest również nowelizacja tego rozdziału.</w:t>
            </w:r>
          </w:p>
        </w:tc>
        <w:tc>
          <w:tcPr>
            <w:tcW w:w="5436" w:type="dxa"/>
          </w:tcPr>
          <w:p w:rsidR="00212AE4" w:rsidRPr="006F6473" w:rsidRDefault="00377DE4" w:rsidP="00212AE4">
            <w:pPr>
              <w:jc w:val="both"/>
              <w:rPr>
                <w:rFonts w:ascii="Times New Roman" w:eastAsia="MS Mincho" w:hAnsi="Times New Roman"/>
                <w:sz w:val="20"/>
                <w:szCs w:val="20"/>
              </w:rPr>
            </w:pPr>
            <w:r w:rsidRPr="006F6473">
              <w:rPr>
                <w:rFonts w:ascii="Times New Roman" w:eastAsia="MS Mincho" w:hAnsi="Times New Roman"/>
                <w:sz w:val="20"/>
                <w:szCs w:val="20"/>
              </w:rPr>
              <w:lastRenderedPageBreak/>
              <w:t>Uwaga został</w:t>
            </w:r>
            <w:r w:rsidR="00212AE4" w:rsidRPr="006F6473">
              <w:rPr>
                <w:rFonts w:ascii="Times New Roman" w:eastAsia="MS Mincho" w:hAnsi="Times New Roman"/>
                <w:sz w:val="20"/>
                <w:szCs w:val="20"/>
              </w:rPr>
              <w:t>a</w:t>
            </w:r>
            <w:r w:rsidRPr="006F6473">
              <w:rPr>
                <w:rFonts w:ascii="Times New Roman" w:eastAsia="MS Mincho" w:hAnsi="Times New Roman"/>
                <w:sz w:val="20"/>
                <w:szCs w:val="20"/>
              </w:rPr>
              <w:t xml:space="preserve"> uwzględniona: </w:t>
            </w:r>
            <w:r w:rsidR="00212AE4" w:rsidRPr="006F6473">
              <w:rPr>
                <w:rFonts w:ascii="Times New Roman" w:eastAsia="MS Mincho" w:hAnsi="Times New Roman"/>
                <w:sz w:val="20"/>
                <w:szCs w:val="20"/>
              </w:rPr>
              <w:t xml:space="preserve">znajdujące się na końcu </w:t>
            </w:r>
            <w:r w:rsidRPr="006F6473">
              <w:rPr>
                <w:rFonts w:ascii="Times New Roman" w:eastAsia="MS Mincho" w:hAnsi="Times New Roman"/>
                <w:sz w:val="20"/>
                <w:szCs w:val="20"/>
              </w:rPr>
              <w:t xml:space="preserve">§ 2 </w:t>
            </w:r>
            <w:r w:rsidR="00212AE4" w:rsidRPr="006F6473">
              <w:rPr>
                <w:rFonts w:ascii="Times New Roman" w:eastAsia="MS Mincho" w:hAnsi="Times New Roman"/>
                <w:sz w:val="20"/>
                <w:szCs w:val="20"/>
              </w:rPr>
              <w:t>zastrzeżenie: „chyba, że ustawa stanowi inaczej” zostanie</w:t>
            </w:r>
            <w:r w:rsidRPr="006F6473">
              <w:rPr>
                <w:rFonts w:ascii="Times New Roman" w:eastAsia="MS Mincho" w:hAnsi="Times New Roman"/>
                <w:sz w:val="20"/>
                <w:szCs w:val="20"/>
              </w:rPr>
              <w:t xml:space="preserve"> </w:t>
            </w:r>
            <w:r w:rsidR="00212AE4" w:rsidRPr="006F6473">
              <w:rPr>
                <w:rFonts w:ascii="Times New Roman" w:eastAsia="MS Mincho" w:hAnsi="Times New Roman"/>
                <w:sz w:val="20"/>
                <w:szCs w:val="20"/>
              </w:rPr>
              <w:t>wykreślone.</w:t>
            </w:r>
          </w:p>
          <w:p w:rsidR="00FF491E" w:rsidRPr="006F6473" w:rsidRDefault="00FF491E" w:rsidP="00ED613F">
            <w:pPr>
              <w:spacing w:line="276" w:lineRule="auto"/>
              <w:rPr>
                <w:rFonts w:ascii="Times New Roman" w:eastAsia="MS Mincho"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FF491E" w:rsidP="00ED613F">
            <w:pPr>
              <w:spacing w:line="276" w:lineRule="auto"/>
              <w:rPr>
                <w:rFonts w:ascii="Times New Roman" w:eastAsia="MS ??" w:hAnsi="Times New Roman"/>
                <w:sz w:val="20"/>
                <w:szCs w:val="20"/>
              </w:rPr>
            </w:pPr>
          </w:p>
          <w:p w:rsidR="00FF491E" w:rsidRPr="006F6473" w:rsidRDefault="00C63DA8" w:rsidP="00804359">
            <w:pPr>
              <w:jc w:val="both"/>
              <w:rPr>
                <w:rFonts w:ascii="Times New Roman" w:eastAsia="MS ??" w:hAnsi="Times New Roman"/>
                <w:sz w:val="20"/>
                <w:szCs w:val="20"/>
              </w:rPr>
            </w:pPr>
            <w:r w:rsidRPr="006F6473">
              <w:rPr>
                <w:rFonts w:ascii="Times New Roman" w:eastAsia="MS ??" w:hAnsi="Times New Roman"/>
                <w:sz w:val="20"/>
                <w:szCs w:val="20"/>
              </w:rPr>
              <w:t>Uwaga została uwzględniona: vide ustalenia</w:t>
            </w:r>
            <w:r w:rsidR="00070840" w:rsidRPr="006F6473">
              <w:rPr>
                <w:rFonts w:ascii="Times New Roman" w:eastAsia="MS ??" w:hAnsi="Times New Roman"/>
                <w:sz w:val="20"/>
                <w:szCs w:val="20"/>
              </w:rPr>
              <w:t xml:space="preserve"> </w:t>
            </w:r>
            <w:r w:rsidR="000F642A" w:rsidRPr="006F6473">
              <w:rPr>
                <w:rFonts w:ascii="Times New Roman" w:eastAsia="MS ??" w:hAnsi="Times New Roman"/>
                <w:sz w:val="20"/>
                <w:szCs w:val="20"/>
              </w:rPr>
              <w:t xml:space="preserve">w związku z trzecią </w:t>
            </w:r>
            <w:r w:rsidR="000F642A" w:rsidRPr="006F6473">
              <w:rPr>
                <w:rFonts w:ascii="Times New Roman" w:eastAsia="MS ??" w:hAnsi="Times New Roman"/>
                <w:sz w:val="20"/>
                <w:szCs w:val="20"/>
              </w:rPr>
              <w:lastRenderedPageBreak/>
              <w:t xml:space="preserve">uwagą z pkt 4 niniejszej tabeli oraz </w:t>
            </w:r>
            <w:r w:rsidR="00804359" w:rsidRPr="006F6473">
              <w:rPr>
                <w:rFonts w:ascii="Times New Roman" w:eastAsia="MS ??" w:hAnsi="Times New Roman"/>
                <w:sz w:val="20"/>
                <w:szCs w:val="20"/>
              </w:rPr>
              <w:t xml:space="preserve">pierwszą </w:t>
            </w:r>
            <w:r w:rsidR="000F642A" w:rsidRPr="006F6473">
              <w:rPr>
                <w:rFonts w:ascii="Times New Roman" w:eastAsia="MS ??" w:hAnsi="Times New Roman"/>
                <w:sz w:val="20"/>
                <w:szCs w:val="20"/>
              </w:rPr>
              <w:t>uwagą z pkt 3 tabeli z konsultacji.</w:t>
            </w:r>
          </w:p>
          <w:p w:rsidR="00FF491E" w:rsidRPr="006F6473" w:rsidRDefault="00FF491E" w:rsidP="002D2A54">
            <w:pPr>
              <w:spacing w:line="276" w:lineRule="auto"/>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jc w:val="center"/>
              <w:rPr>
                <w:rFonts w:ascii="Times New Roman" w:eastAsia="MS Mincho" w:hAnsi="Times New Roman"/>
                <w:sz w:val="20"/>
                <w:szCs w:val="20"/>
              </w:rPr>
            </w:pPr>
            <w:r w:rsidRPr="00ED613F">
              <w:rPr>
                <w:rFonts w:ascii="Times New Roman" w:eastAsia="MS Mincho" w:hAnsi="Times New Roman"/>
                <w:sz w:val="20"/>
                <w:szCs w:val="20"/>
              </w:rPr>
              <w:lastRenderedPageBreak/>
              <w:t>24.</w:t>
            </w:r>
          </w:p>
        </w:tc>
        <w:tc>
          <w:tcPr>
            <w:tcW w:w="2127" w:type="dxa"/>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6 </w:t>
            </w:r>
          </w:p>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328</w:t>
            </w:r>
            <w:r w:rsidRPr="00ED613F">
              <w:rPr>
                <w:rFonts w:ascii="Times New Roman" w:eastAsia="MS Mincho" w:hAnsi="Times New Roman"/>
                <w:b/>
                <w:sz w:val="20"/>
                <w:szCs w:val="20"/>
                <w:vertAlign w:val="superscript"/>
                <w:lang w:val="de-DE"/>
              </w:rPr>
              <w:t>13</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spacing w:line="276" w:lineRule="auto"/>
              <w:jc w:val="center"/>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 xml:space="preserve">Projektowana ustawa słusznie zauważa, iż rejestr papierów wartościowych prowadzony przez depozyt papierów wartościowych na gruncie art. 5 </w:t>
            </w:r>
            <w:proofErr w:type="spellStart"/>
            <w:r w:rsidRPr="006F6473">
              <w:rPr>
                <w:rFonts w:ascii="Times New Roman" w:eastAsia="MS Mincho" w:hAnsi="Times New Roman"/>
                <w:sz w:val="20"/>
                <w:szCs w:val="20"/>
              </w:rPr>
              <w:t>u.o.i.f</w:t>
            </w:r>
            <w:proofErr w:type="spellEnd"/>
            <w:r w:rsidRPr="006F6473">
              <w:rPr>
                <w:rFonts w:ascii="Times New Roman" w:eastAsia="MS Mincho" w:hAnsi="Times New Roman"/>
                <w:sz w:val="20"/>
                <w:szCs w:val="20"/>
              </w:rPr>
              <w:t>. nie pozwala na identyfikację posiadacza akcji, gdyż jest ona możliwa wyłącznie na poziomie podmiotu prowadzącego rachunek papierów wartościowych, na którym zapisane są te akcje, stąd też w projektowanym art. 328</w:t>
            </w:r>
            <w:r w:rsidRPr="006F6473">
              <w:rPr>
                <w:rFonts w:ascii="Times New Roman" w:eastAsia="MS Mincho" w:hAnsi="Times New Roman"/>
                <w:sz w:val="20"/>
                <w:szCs w:val="20"/>
                <w:vertAlign w:val="superscript"/>
              </w:rPr>
              <w:t>13</w:t>
            </w:r>
            <w:r w:rsidRPr="006F6473">
              <w:rPr>
                <w:rFonts w:ascii="Times New Roman" w:eastAsia="MS Mincho" w:hAnsi="Times New Roman"/>
                <w:sz w:val="20"/>
                <w:szCs w:val="20"/>
              </w:rPr>
              <w:t xml:space="preserve"> wprowadzono normę prawną umożliwiającą spółce publicznej lub spółce niepublicznej, której akcje są zarejestrowane w depozycie papierów wartościowych, żądanie udostępnienia informacji odpowiadających informacjom ujawnianym w rejestrze akcjonariuszy. W tym kontekście powstaje jednak pytanie, na jakiej podstawie spółka będzie identyfikować podmioty prowadzące rachunki papierów wartościowych, na których są zapisane akcje tej spółki.</w:t>
            </w:r>
          </w:p>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Wątpliwe jest czy funkcjonalność rachunku papierów wartościowych pozwala na udzielenie na żądanie spółki wszystkich informacji, które zgodnie z projektowanym art. 328</w:t>
            </w:r>
            <w:r w:rsidRPr="006F6473">
              <w:rPr>
                <w:rFonts w:ascii="Times New Roman" w:eastAsia="MS Mincho" w:hAnsi="Times New Roman"/>
                <w:sz w:val="20"/>
                <w:szCs w:val="20"/>
                <w:vertAlign w:val="superscript"/>
              </w:rPr>
              <w:t>3</w:t>
            </w:r>
            <w:r w:rsidRPr="006F6473">
              <w:rPr>
                <w:rFonts w:ascii="Times New Roman" w:eastAsia="MS Mincho" w:hAnsi="Times New Roman"/>
                <w:sz w:val="20"/>
                <w:szCs w:val="20"/>
              </w:rPr>
              <w:t xml:space="preserve">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zawiera rejestr akcjonariuszy, np. o postanowieniach statutu o związanych z akcją obowiązkach wobec spółki.</w:t>
            </w:r>
          </w:p>
        </w:tc>
        <w:tc>
          <w:tcPr>
            <w:tcW w:w="5436" w:type="dxa"/>
          </w:tcPr>
          <w:p w:rsidR="00FF491E" w:rsidRPr="006F6473" w:rsidRDefault="00C40E4E" w:rsidP="00893408">
            <w:pPr>
              <w:jc w:val="both"/>
              <w:rPr>
                <w:rFonts w:ascii="Times New Roman" w:eastAsia="MS ??" w:hAnsi="Times New Roman"/>
                <w:sz w:val="20"/>
                <w:szCs w:val="20"/>
              </w:rPr>
            </w:pPr>
            <w:r w:rsidRPr="006F6473">
              <w:rPr>
                <w:rFonts w:ascii="Times New Roman" w:eastAsia="MS ??" w:hAnsi="Times New Roman"/>
                <w:sz w:val="20"/>
                <w:szCs w:val="20"/>
              </w:rPr>
              <w:t>Uwaga została uwzględniona: zakres informacji, które będzie można uzyskać</w:t>
            </w:r>
            <w:r w:rsidR="00564867" w:rsidRPr="006F6473">
              <w:rPr>
                <w:rFonts w:ascii="Times New Roman" w:eastAsia="MS ??" w:hAnsi="Times New Roman"/>
                <w:sz w:val="20"/>
                <w:szCs w:val="20"/>
              </w:rPr>
              <w:t xml:space="preserve"> w przypadku, gdy akcje zarejestrowane są w depozycie papierów wartościowych, zostanie doprecyzowany w oparciu o propozycję </w:t>
            </w:r>
            <w:r w:rsidR="00C421B0" w:rsidRPr="006F6473">
              <w:rPr>
                <w:rFonts w:ascii="Times New Roman" w:eastAsia="MS ??" w:hAnsi="Times New Roman"/>
                <w:sz w:val="20"/>
                <w:szCs w:val="20"/>
              </w:rPr>
              <w:t>przedstawiona</w:t>
            </w:r>
            <w:r w:rsidR="00564867" w:rsidRPr="006F6473">
              <w:rPr>
                <w:rFonts w:ascii="Times New Roman" w:eastAsia="MS ??" w:hAnsi="Times New Roman"/>
                <w:sz w:val="20"/>
                <w:szCs w:val="20"/>
              </w:rPr>
              <w:t xml:space="preserve"> przez KDPW (vide pkt</w:t>
            </w:r>
            <w:r w:rsidR="0028623C" w:rsidRPr="006F6473">
              <w:rPr>
                <w:rFonts w:ascii="Times New Roman" w:eastAsia="MS ??" w:hAnsi="Times New Roman"/>
                <w:sz w:val="20"/>
                <w:szCs w:val="20"/>
              </w:rPr>
              <w:t xml:space="preserve"> 35</w:t>
            </w:r>
            <w:r w:rsidR="0012578D" w:rsidRPr="006F6473">
              <w:rPr>
                <w:rFonts w:ascii="Times New Roman" w:eastAsia="MS ??" w:hAnsi="Times New Roman"/>
                <w:sz w:val="20"/>
                <w:szCs w:val="20"/>
              </w:rPr>
              <w:t xml:space="preserve"> w tabeli z konsultacji</w:t>
            </w:r>
            <w:r w:rsidR="00564867" w:rsidRPr="006F6473">
              <w:rPr>
                <w:rFonts w:ascii="Times New Roman" w:eastAsia="MS ??" w:hAnsi="Times New Roman"/>
                <w:sz w:val="20"/>
                <w:szCs w:val="20"/>
              </w:rPr>
              <w:t>)</w:t>
            </w:r>
            <w:r w:rsidR="0012578D" w:rsidRPr="006F6473">
              <w:rPr>
                <w:rFonts w:ascii="Times New Roman" w:eastAsia="MS ??" w:hAnsi="Times New Roman"/>
                <w:sz w:val="20"/>
                <w:szCs w:val="20"/>
              </w:rPr>
              <w:t>.</w:t>
            </w:r>
          </w:p>
          <w:p w:rsidR="0012578D" w:rsidRPr="006F6473" w:rsidRDefault="0012578D" w:rsidP="0012578D">
            <w:pPr>
              <w:jc w:val="both"/>
              <w:rPr>
                <w:rFonts w:ascii="Times New Roman" w:eastAsia="MS ??" w:hAnsi="Times New Roman"/>
                <w:sz w:val="20"/>
                <w:szCs w:val="20"/>
              </w:rPr>
            </w:pPr>
            <w:r w:rsidRPr="006F6473">
              <w:rPr>
                <w:rFonts w:ascii="Times New Roman" w:eastAsia="MS ??" w:hAnsi="Times New Roman"/>
                <w:sz w:val="20"/>
                <w:szCs w:val="20"/>
              </w:rPr>
              <w:t xml:space="preserve">Nadto w przepisie </w:t>
            </w:r>
            <w:r w:rsidR="00C421B0" w:rsidRPr="006F6473">
              <w:rPr>
                <w:rFonts w:ascii="Times New Roman" w:eastAsia="MS ??" w:hAnsi="Times New Roman"/>
                <w:sz w:val="20"/>
                <w:szCs w:val="20"/>
              </w:rPr>
              <w:t xml:space="preserve">zostaną </w:t>
            </w:r>
            <w:r w:rsidRPr="006F6473">
              <w:rPr>
                <w:rFonts w:ascii="Times New Roman" w:eastAsia="MS ??" w:hAnsi="Times New Roman"/>
                <w:sz w:val="20"/>
                <w:szCs w:val="20"/>
              </w:rPr>
              <w:t>prowadzon</w:t>
            </w:r>
            <w:r w:rsidR="00C421B0" w:rsidRPr="006F6473">
              <w:rPr>
                <w:rFonts w:ascii="Times New Roman" w:eastAsia="MS ??" w:hAnsi="Times New Roman"/>
                <w:sz w:val="20"/>
                <w:szCs w:val="20"/>
              </w:rPr>
              <w:t>e</w:t>
            </w:r>
            <w:r w:rsidRPr="006F6473">
              <w:rPr>
                <w:rFonts w:ascii="Times New Roman" w:eastAsia="MS ??" w:hAnsi="Times New Roman"/>
                <w:sz w:val="20"/>
                <w:szCs w:val="20"/>
              </w:rPr>
              <w:t xml:space="preserve"> zmiany, dzięki którym informacje będzie mógł uzyskać także akcjonariusz spółki, której akcje są zarejestrowane w depozycie papierów wartościowości i które doprecyz</w:t>
            </w:r>
            <w:r w:rsidR="00C421B0" w:rsidRPr="006F6473">
              <w:rPr>
                <w:rFonts w:ascii="Times New Roman" w:eastAsia="MS ??" w:hAnsi="Times New Roman"/>
                <w:sz w:val="20"/>
                <w:szCs w:val="20"/>
              </w:rPr>
              <w:t>ują</w:t>
            </w:r>
            <w:r w:rsidRPr="006F6473">
              <w:rPr>
                <w:rFonts w:ascii="Times New Roman" w:eastAsia="MS ??" w:hAnsi="Times New Roman"/>
                <w:sz w:val="20"/>
                <w:szCs w:val="20"/>
              </w:rPr>
              <w:t xml:space="preserve"> tryb </w:t>
            </w:r>
            <w:r w:rsidR="003128F1" w:rsidRPr="006F6473">
              <w:rPr>
                <w:rFonts w:ascii="Times New Roman" w:eastAsia="MS ??" w:hAnsi="Times New Roman"/>
                <w:sz w:val="20"/>
                <w:szCs w:val="20"/>
              </w:rPr>
              <w:t>uzyskiwania</w:t>
            </w:r>
            <w:r w:rsidRPr="006F6473">
              <w:rPr>
                <w:rFonts w:ascii="Times New Roman" w:eastAsia="MS ??" w:hAnsi="Times New Roman"/>
                <w:sz w:val="20"/>
                <w:szCs w:val="20"/>
              </w:rPr>
              <w:t xml:space="preserve"> informacji</w:t>
            </w:r>
            <w:r w:rsidR="00C421B0" w:rsidRPr="006F6473">
              <w:rPr>
                <w:rFonts w:ascii="Times New Roman" w:eastAsia="MS ??" w:hAnsi="Times New Roman"/>
                <w:sz w:val="20"/>
                <w:szCs w:val="20"/>
              </w:rPr>
              <w:t xml:space="preserve"> </w:t>
            </w:r>
            <w:r w:rsidRPr="006F6473">
              <w:rPr>
                <w:rFonts w:ascii="Times New Roman" w:eastAsia="MS ??" w:hAnsi="Times New Roman"/>
                <w:sz w:val="20"/>
                <w:szCs w:val="20"/>
              </w:rPr>
              <w:t xml:space="preserve">(takie </w:t>
            </w:r>
            <w:r w:rsidR="003128F1" w:rsidRPr="006F6473">
              <w:rPr>
                <w:rFonts w:ascii="Times New Roman" w:eastAsia="MS ??" w:hAnsi="Times New Roman"/>
                <w:sz w:val="20"/>
                <w:szCs w:val="20"/>
              </w:rPr>
              <w:t>doprecyzowanie</w:t>
            </w:r>
            <w:r w:rsidRPr="006F6473">
              <w:rPr>
                <w:rFonts w:ascii="Times New Roman" w:eastAsia="MS ??" w:hAnsi="Times New Roman"/>
                <w:sz w:val="20"/>
                <w:szCs w:val="20"/>
              </w:rPr>
              <w:t xml:space="preserve"> jest konieczne ze względu na dwu</w:t>
            </w:r>
            <w:r w:rsidR="00893408" w:rsidRPr="006F6473">
              <w:rPr>
                <w:rFonts w:ascii="Times New Roman" w:eastAsia="MS ??" w:hAnsi="Times New Roman"/>
                <w:sz w:val="20"/>
                <w:szCs w:val="20"/>
              </w:rPr>
              <w:t>stopniow</w:t>
            </w:r>
            <w:r w:rsidR="00291CA8" w:rsidRPr="006F6473">
              <w:rPr>
                <w:rFonts w:ascii="Times New Roman" w:eastAsia="MS ??" w:hAnsi="Times New Roman"/>
                <w:sz w:val="20"/>
                <w:szCs w:val="20"/>
              </w:rPr>
              <w:t>y</w:t>
            </w:r>
            <w:r w:rsidRPr="006F6473">
              <w:rPr>
                <w:rFonts w:ascii="Times New Roman" w:eastAsia="MS ??" w:hAnsi="Times New Roman"/>
                <w:sz w:val="20"/>
                <w:szCs w:val="20"/>
              </w:rPr>
              <w:t xml:space="preserve"> system rejestracji papierów wartościowych w systemie depozytu papierów wartościowych).</w:t>
            </w:r>
          </w:p>
          <w:p w:rsidR="00FF491E" w:rsidRPr="006F6473" w:rsidRDefault="00924D6B" w:rsidP="00CD6CF5">
            <w:pPr>
              <w:jc w:val="both"/>
              <w:rPr>
                <w:rFonts w:ascii="Times New Roman" w:eastAsia="MS Mincho" w:hAnsi="Times New Roman"/>
                <w:sz w:val="20"/>
                <w:szCs w:val="20"/>
              </w:rPr>
            </w:pPr>
            <w:r w:rsidRPr="006F6473">
              <w:rPr>
                <w:rFonts w:ascii="Times New Roman" w:eastAsia="MS ??" w:hAnsi="Times New Roman"/>
                <w:sz w:val="20"/>
                <w:szCs w:val="20"/>
              </w:rPr>
              <w:t xml:space="preserve">Dodatkowo, zakres regulacji </w:t>
            </w:r>
            <w:r w:rsidR="000340A2" w:rsidRPr="006F6473">
              <w:rPr>
                <w:rFonts w:ascii="Times New Roman" w:eastAsia="MS ??" w:hAnsi="Times New Roman"/>
                <w:sz w:val="20"/>
                <w:szCs w:val="20"/>
              </w:rPr>
              <w:t>projektowanego</w:t>
            </w:r>
            <w:r w:rsidR="000340A2" w:rsidRPr="006F6473">
              <w:t xml:space="preserve"> </w:t>
            </w:r>
            <w:r w:rsidR="000340A2" w:rsidRPr="006F6473">
              <w:rPr>
                <w:rFonts w:ascii="Times New Roman" w:eastAsia="MS ??" w:hAnsi="Times New Roman"/>
                <w:sz w:val="20"/>
                <w:szCs w:val="20"/>
              </w:rPr>
              <w:t>art. 328</w:t>
            </w:r>
            <w:r w:rsidR="000340A2" w:rsidRPr="006F6473">
              <w:rPr>
                <w:rFonts w:ascii="Times New Roman" w:eastAsia="MS ??" w:hAnsi="Times New Roman"/>
                <w:sz w:val="20"/>
                <w:szCs w:val="20"/>
                <w:vertAlign w:val="superscript"/>
              </w:rPr>
              <w:t>13</w:t>
            </w:r>
            <w:r w:rsidR="000340A2" w:rsidRPr="006F6473">
              <w:rPr>
                <w:rFonts w:ascii="Times New Roman" w:eastAsia="MS ??" w:hAnsi="Times New Roman"/>
                <w:sz w:val="20"/>
                <w:szCs w:val="20"/>
              </w:rPr>
              <w:t xml:space="preserve"> </w:t>
            </w:r>
            <w:proofErr w:type="spellStart"/>
            <w:r w:rsidR="000340A2" w:rsidRPr="006F6473">
              <w:rPr>
                <w:rFonts w:ascii="Times New Roman" w:eastAsia="MS ??" w:hAnsi="Times New Roman"/>
                <w:sz w:val="20"/>
                <w:szCs w:val="20"/>
              </w:rPr>
              <w:t>k.s.h</w:t>
            </w:r>
            <w:proofErr w:type="spellEnd"/>
            <w:r w:rsidR="000340A2" w:rsidRPr="006F6473">
              <w:rPr>
                <w:rFonts w:ascii="Times New Roman" w:eastAsia="MS ??" w:hAnsi="Times New Roman"/>
                <w:sz w:val="20"/>
                <w:szCs w:val="20"/>
              </w:rPr>
              <w:t xml:space="preserve">. </w:t>
            </w:r>
            <w:r w:rsidRPr="006F6473">
              <w:rPr>
                <w:rFonts w:ascii="Times New Roman" w:eastAsia="MS ??" w:hAnsi="Times New Roman"/>
                <w:sz w:val="20"/>
                <w:szCs w:val="20"/>
              </w:rPr>
              <w:t xml:space="preserve">zostanie </w:t>
            </w:r>
            <w:r w:rsidR="000340A2" w:rsidRPr="006F6473">
              <w:rPr>
                <w:rFonts w:ascii="Times New Roman" w:eastAsia="MS ??" w:hAnsi="Times New Roman"/>
                <w:sz w:val="20"/>
                <w:szCs w:val="20"/>
              </w:rPr>
              <w:t>zawężony do spółek niepublicznych, które zdecydują się na zarejestrowanie ich akcji depozycie papierów wartościowych. W odniesieniu do spółek publicznych odpowiednie regulacje w tym zakresie zostaną natomiast wypracowane i przyjęte w ramach implementacji  dyrektywy z 17 maja 2017 r. nr 2017/828 zmieniającej dyrektywę 2007/36/WE w zakresie zachęcania akcjonariuszy do długoterminowego zaangażowania, która powinna być wdrożona do dnia 10 czerwca 2019 r., a więc jeszcze przed planowanym wejściem w życie niniejszej ustawy</w:t>
            </w:r>
            <w:r w:rsidR="00CD6CF5" w:rsidRPr="006F6473">
              <w:rPr>
                <w:rFonts w:ascii="Times New Roman" w:eastAsia="MS ??" w:hAnsi="Times New Roman"/>
                <w:sz w:val="20"/>
                <w:szCs w:val="20"/>
              </w:rPr>
              <w:t>.</w:t>
            </w:r>
          </w:p>
        </w:tc>
      </w:tr>
      <w:tr w:rsidR="00FF491E" w:rsidRPr="00ED613F" w:rsidTr="00ED613F">
        <w:tc>
          <w:tcPr>
            <w:tcW w:w="572" w:type="dxa"/>
          </w:tcPr>
          <w:p w:rsidR="00FF491E" w:rsidRPr="00ED613F" w:rsidRDefault="00FF491E" w:rsidP="00ED613F">
            <w:pPr>
              <w:spacing w:line="276" w:lineRule="auto"/>
              <w:jc w:val="center"/>
              <w:rPr>
                <w:rFonts w:ascii="Times New Roman" w:eastAsia="MS Mincho" w:hAnsi="Times New Roman"/>
                <w:sz w:val="20"/>
                <w:szCs w:val="20"/>
              </w:rPr>
            </w:pPr>
            <w:r w:rsidRPr="00ED613F">
              <w:rPr>
                <w:rFonts w:ascii="Times New Roman" w:eastAsia="MS Mincho" w:hAnsi="Times New Roman"/>
                <w:sz w:val="20"/>
                <w:szCs w:val="20"/>
              </w:rPr>
              <w:t>25.</w:t>
            </w:r>
          </w:p>
        </w:tc>
        <w:tc>
          <w:tcPr>
            <w:tcW w:w="2127" w:type="dxa"/>
            <w:vMerge w:val="restart"/>
          </w:tcPr>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7 </w:t>
            </w:r>
          </w:p>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331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ED613F">
            <w:pPr>
              <w:jc w:val="center"/>
              <w:rPr>
                <w:rFonts w:ascii="Times New Roman" w:eastAsia="MS Mincho" w:hAnsi="Times New Roman"/>
                <w:b/>
                <w:sz w:val="20"/>
                <w:szCs w:val="20"/>
                <w:lang w:val="de-DE"/>
              </w:rPr>
            </w:pP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proofErr w:type="spellStart"/>
            <w:r w:rsidRPr="00ED613F">
              <w:rPr>
                <w:rFonts w:ascii="Times New Roman" w:eastAsia="MS Mincho" w:hAnsi="Times New Roman"/>
                <w:b/>
                <w:sz w:val="20"/>
                <w:szCs w:val="20"/>
              </w:rPr>
              <w:t>MRiRW</w:t>
            </w:r>
            <w:proofErr w:type="spellEnd"/>
          </w:p>
        </w:tc>
        <w:tc>
          <w:tcPr>
            <w:tcW w:w="6041" w:type="dxa"/>
          </w:tcPr>
          <w:p w:rsidR="00FF491E" w:rsidRPr="00ED613F" w:rsidRDefault="00FF491E" w:rsidP="00ED613F">
            <w:pPr>
              <w:jc w:val="both"/>
              <w:rPr>
                <w:rFonts w:ascii="Times New Roman" w:hAnsi="Times New Roman"/>
                <w:sz w:val="20"/>
                <w:szCs w:val="20"/>
              </w:rPr>
            </w:pPr>
            <w:r w:rsidRPr="00ED613F">
              <w:rPr>
                <w:rFonts w:ascii="Times New Roman" w:hAnsi="Times New Roman"/>
                <w:sz w:val="20"/>
                <w:szCs w:val="20"/>
              </w:rPr>
              <w:t>Zgodnie z projektowanym art. 331 § 1: „Jeżeli akcjonariusz w terminie miesiąca po upływie terminu płatności nie uiścił zaległej wpłaty (…), może być pozbawiony przez spółkę swoich praw udziałowych”. Zgodnie z art. 331</w:t>
            </w:r>
            <w:r w:rsidRPr="00ED613F">
              <w:rPr>
                <w:rFonts w:ascii="Times New Roman" w:hAnsi="Times New Roman"/>
                <w:sz w:val="20"/>
                <w:szCs w:val="20"/>
                <w:vertAlign w:val="superscript"/>
              </w:rPr>
              <w:t>1</w:t>
            </w:r>
            <w:r w:rsidRPr="00ED613F">
              <w:rPr>
                <w:rFonts w:ascii="Times New Roman" w:hAnsi="Times New Roman"/>
                <w:sz w:val="20"/>
                <w:szCs w:val="20"/>
              </w:rPr>
              <w:t xml:space="preserve"> § 1, zanim spółka pozbawi akcjonariusza praw udziałowych, musi wezwać go do spełnienia świadczenia wyznaczając mu dodatkowy termin. </w:t>
            </w:r>
          </w:p>
          <w:p w:rsidR="00FF491E" w:rsidRDefault="00FF491E" w:rsidP="00ED613F">
            <w:pPr>
              <w:jc w:val="both"/>
              <w:rPr>
                <w:rFonts w:ascii="Times New Roman" w:hAnsi="Times New Roman"/>
                <w:sz w:val="20"/>
                <w:szCs w:val="20"/>
              </w:rPr>
            </w:pPr>
            <w:r w:rsidRPr="00ED613F">
              <w:rPr>
                <w:rFonts w:ascii="Times New Roman" w:hAnsi="Times New Roman"/>
                <w:sz w:val="20"/>
                <w:szCs w:val="20"/>
              </w:rPr>
              <w:t>Należy zatem stwierdzić, że z powyższych przepisów jednoznacznie wynika, iż możliwość pozbawienia akcjonariusza praw udziałowych powstaje automatycznie w przypadku przekroczenia dodatkowego terminu. W oparciu o powyższe wydaje się, że nie ma potrzeby wprowadzania przepisu zawartego w § 2 art. 331</w:t>
            </w:r>
            <w:r w:rsidRPr="00ED613F">
              <w:rPr>
                <w:rFonts w:ascii="Times New Roman" w:hAnsi="Times New Roman"/>
                <w:sz w:val="20"/>
                <w:szCs w:val="20"/>
                <w:vertAlign w:val="superscript"/>
              </w:rPr>
              <w:t>1</w:t>
            </w:r>
            <w:r w:rsidRPr="00ED613F">
              <w:rPr>
                <w:rFonts w:ascii="Times New Roman" w:hAnsi="Times New Roman"/>
                <w:sz w:val="20"/>
                <w:szCs w:val="20"/>
              </w:rPr>
              <w:t>.</w:t>
            </w:r>
          </w:p>
          <w:p w:rsidR="00FF491E" w:rsidRPr="00ED613F" w:rsidRDefault="00FF491E" w:rsidP="00ED613F">
            <w:pPr>
              <w:jc w:val="both"/>
              <w:rPr>
                <w:rFonts w:ascii="Times New Roman" w:hAnsi="Times New Roman"/>
                <w:sz w:val="20"/>
                <w:szCs w:val="20"/>
              </w:rPr>
            </w:pPr>
          </w:p>
        </w:tc>
        <w:tc>
          <w:tcPr>
            <w:tcW w:w="5436" w:type="dxa"/>
          </w:tcPr>
          <w:p w:rsidR="00CF3B97" w:rsidRDefault="00900D2F" w:rsidP="002131DB">
            <w:pPr>
              <w:jc w:val="both"/>
              <w:rPr>
                <w:rFonts w:ascii="Times New Roman" w:eastAsia="MS Mincho" w:hAnsi="Times New Roman"/>
                <w:sz w:val="20"/>
                <w:szCs w:val="20"/>
              </w:rPr>
            </w:pPr>
            <w:r w:rsidRPr="00900D2F">
              <w:rPr>
                <w:rFonts w:ascii="Times New Roman" w:eastAsia="MS Mincho" w:hAnsi="Times New Roman"/>
                <w:sz w:val="20"/>
                <w:szCs w:val="20"/>
              </w:rPr>
              <w:t>Wyjaśniono, że</w:t>
            </w:r>
            <w:r>
              <w:rPr>
                <w:rFonts w:ascii="Times New Roman" w:eastAsia="MS Mincho" w:hAnsi="Times New Roman"/>
                <w:sz w:val="20"/>
                <w:szCs w:val="20"/>
              </w:rPr>
              <w:t xml:space="preserve"> zmieniany art. 331 </w:t>
            </w:r>
            <w:proofErr w:type="spellStart"/>
            <w:r>
              <w:rPr>
                <w:rFonts w:ascii="Times New Roman" w:eastAsia="MS Mincho" w:hAnsi="Times New Roman"/>
                <w:sz w:val="20"/>
                <w:szCs w:val="20"/>
              </w:rPr>
              <w:t>k.s.h</w:t>
            </w:r>
            <w:proofErr w:type="spellEnd"/>
            <w:r>
              <w:rPr>
                <w:rFonts w:ascii="Times New Roman" w:eastAsia="MS Mincho" w:hAnsi="Times New Roman"/>
                <w:sz w:val="20"/>
                <w:szCs w:val="20"/>
              </w:rPr>
              <w:t>.</w:t>
            </w:r>
            <w:r w:rsidR="002232DB">
              <w:rPr>
                <w:rFonts w:ascii="Times New Roman" w:eastAsia="MS Mincho" w:hAnsi="Times New Roman"/>
                <w:sz w:val="20"/>
                <w:szCs w:val="20"/>
              </w:rPr>
              <w:t xml:space="preserve"> stat</w:t>
            </w:r>
            <w:r>
              <w:rPr>
                <w:rFonts w:ascii="Times New Roman" w:eastAsia="MS Mincho" w:hAnsi="Times New Roman"/>
                <w:sz w:val="20"/>
                <w:szCs w:val="20"/>
              </w:rPr>
              <w:t xml:space="preserve">uuje ogólną możliwość pozbawienia akcjonariusza </w:t>
            </w:r>
            <w:r w:rsidR="002232DB">
              <w:rPr>
                <w:rFonts w:ascii="Times New Roman" w:eastAsia="MS Mincho" w:hAnsi="Times New Roman"/>
                <w:sz w:val="20"/>
                <w:szCs w:val="20"/>
              </w:rPr>
              <w:t>praw udziałowych w określonych</w:t>
            </w:r>
            <w:r w:rsidR="008F7C17">
              <w:rPr>
                <w:rFonts w:ascii="Times New Roman" w:eastAsia="MS Mincho" w:hAnsi="Times New Roman"/>
                <w:sz w:val="20"/>
                <w:szCs w:val="20"/>
              </w:rPr>
              <w:t xml:space="preserve"> sytuacjach i przesą</w:t>
            </w:r>
            <w:r w:rsidR="002232DB">
              <w:rPr>
                <w:rFonts w:ascii="Times New Roman" w:eastAsia="MS Mincho" w:hAnsi="Times New Roman"/>
                <w:sz w:val="20"/>
                <w:szCs w:val="20"/>
              </w:rPr>
              <w:t xml:space="preserve">dza, że wymaga to podjęcia uchwały przez zarząd (jeśli statut tak </w:t>
            </w:r>
            <w:r w:rsidR="008F7C17">
              <w:rPr>
                <w:rFonts w:ascii="Times New Roman" w:eastAsia="MS Mincho" w:hAnsi="Times New Roman"/>
                <w:sz w:val="20"/>
                <w:szCs w:val="20"/>
              </w:rPr>
              <w:t>stano</w:t>
            </w:r>
            <w:r w:rsidR="00824A3C">
              <w:rPr>
                <w:rFonts w:ascii="Times New Roman" w:eastAsia="MS Mincho" w:hAnsi="Times New Roman"/>
                <w:sz w:val="20"/>
                <w:szCs w:val="20"/>
              </w:rPr>
              <w:t>wi</w:t>
            </w:r>
            <w:r w:rsidR="002232DB">
              <w:rPr>
                <w:rFonts w:ascii="Times New Roman" w:eastAsia="MS Mincho" w:hAnsi="Times New Roman"/>
                <w:sz w:val="20"/>
                <w:szCs w:val="20"/>
              </w:rPr>
              <w:t xml:space="preserve"> –</w:t>
            </w:r>
            <w:r w:rsidR="008F7C17">
              <w:rPr>
                <w:rFonts w:ascii="Times New Roman" w:eastAsia="MS Mincho" w:hAnsi="Times New Roman"/>
                <w:sz w:val="20"/>
                <w:szCs w:val="20"/>
              </w:rPr>
              <w:t xml:space="preserve"> za zgodą rady nadzorczej)</w:t>
            </w:r>
            <w:r w:rsidR="002232DB">
              <w:rPr>
                <w:rFonts w:ascii="Times New Roman" w:eastAsia="MS Mincho" w:hAnsi="Times New Roman"/>
                <w:sz w:val="20"/>
                <w:szCs w:val="20"/>
              </w:rPr>
              <w:t>. Natomiast dodawan</w:t>
            </w:r>
            <w:r w:rsidR="0018182A">
              <w:rPr>
                <w:rFonts w:ascii="Times New Roman" w:eastAsia="MS Mincho" w:hAnsi="Times New Roman"/>
                <w:sz w:val="20"/>
                <w:szCs w:val="20"/>
              </w:rPr>
              <w:t>y art. 331</w:t>
            </w:r>
            <w:r w:rsidR="0018182A">
              <w:rPr>
                <w:rFonts w:ascii="Times New Roman" w:eastAsia="MS Mincho" w:hAnsi="Times New Roman"/>
                <w:sz w:val="20"/>
                <w:szCs w:val="20"/>
                <w:vertAlign w:val="superscript"/>
              </w:rPr>
              <w:t xml:space="preserve">1 </w:t>
            </w:r>
            <w:proofErr w:type="spellStart"/>
            <w:r w:rsidR="0018182A">
              <w:rPr>
                <w:rFonts w:ascii="Times New Roman" w:eastAsia="MS Mincho" w:hAnsi="Times New Roman"/>
                <w:sz w:val="20"/>
                <w:szCs w:val="20"/>
              </w:rPr>
              <w:t>k.s.h</w:t>
            </w:r>
            <w:proofErr w:type="spellEnd"/>
            <w:r w:rsidR="0018182A">
              <w:rPr>
                <w:rFonts w:ascii="Times New Roman" w:eastAsia="MS Mincho" w:hAnsi="Times New Roman"/>
                <w:sz w:val="20"/>
                <w:szCs w:val="20"/>
              </w:rPr>
              <w:t>. reguluje szczegółow</w:t>
            </w:r>
            <w:r w:rsidR="008F7C17">
              <w:rPr>
                <w:rFonts w:ascii="Times New Roman" w:eastAsia="MS Mincho" w:hAnsi="Times New Roman"/>
                <w:sz w:val="20"/>
                <w:szCs w:val="20"/>
              </w:rPr>
              <w:t>o</w:t>
            </w:r>
            <w:r w:rsidR="0018182A">
              <w:rPr>
                <w:rFonts w:ascii="Times New Roman" w:eastAsia="MS Mincho" w:hAnsi="Times New Roman"/>
                <w:sz w:val="20"/>
                <w:szCs w:val="20"/>
              </w:rPr>
              <w:t xml:space="preserve"> kolejne kroki w procedurze pozba</w:t>
            </w:r>
            <w:r w:rsidR="008F7C17">
              <w:rPr>
                <w:rFonts w:ascii="Times New Roman" w:eastAsia="MS Mincho" w:hAnsi="Times New Roman"/>
                <w:sz w:val="20"/>
                <w:szCs w:val="20"/>
              </w:rPr>
              <w:t xml:space="preserve">wiania </w:t>
            </w:r>
            <w:r w:rsidR="00824A3C">
              <w:rPr>
                <w:rFonts w:ascii="Times New Roman" w:eastAsia="MS Mincho" w:hAnsi="Times New Roman"/>
                <w:sz w:val="20"/>
                <w:szCs w:val="20"/>
              </w:rPr>
              <w:t>akcjonariusza</w:t>
            </w:r>
            <w:r w:rsidR="008F7C17">
              <w:rPr>
                <w:rFonts w:ascii="Times New Roman" w:eastAsia="MS Mincho" w:hAnsi="Times New Roman"/>
                <w:sz w:val="20"/>
                <w:szCs w:val="20"/>
              </w:rPr>
              <w:t xml:space="preserve"> praw udziałowych.</w:t>
            </w:r>
            <w:r w:rsidR="00D65929">
              <w:rPr>
                <w:rFonts w:ascii="Times New Roman" w:eastAsia="MS Mincho" w:hAnsi="Times New Roman"/>
                <w:sz w:val="20"/>
                <w:szCs w:val="20"/>
              </w:rPr>
              <w:t xml:space="preserve"> </w:t>
            </w:r>
            <w:r w:rsidR="00CF3B97">
              <w:rPr>
                <w:rFonts w:ascii="Times New Roman" w:eastAsia="MS Mincho" w:hAnsi="Times New Roman"/>
                <w:sz w:val="20"/>
                <w:szCs w:val="20"/>
              </w:rPr>
              <w:t>Dopiero łącznie a</w:t>
            </w:r>
            <w:r w:rsidR="00D65929">
              <w:rPr>
                <w:rFonts w:ascii="Times New Roman" w:eastAsia="MS Mincho" w:hAnsi="Times New Roman"/>
                <w:sz w:val="20"/>
                <w:szCs w:val="20"/>
              </w:rPr>
              <w:t>rt.</w:t>
            </w:r>
            <w:r w:rsidR="00824A3C">
              <w:rPr>
                <w:rFonts w:ascii="Times New Roman" w:eastAsia="MS Mincho" w:hAnsi="Times New Roman"/>
                <w:sz w:val="20"/>
                <w:szCs w:val="20"/>
              </w:rPr>
              <w:t xml:space="preserve"> </w:t>
            </w:r>
            <w:r w:rsidR="00D65929" w:rsidRPr="00D65929">
              <w:rPr>
                <w:rFonts w:ascii="Times New Roman" w:eastAsia="MS Mincho" w:hAnsi="Times New Roman"/>
                <w:sz w:val="20"/>
                <w:szCs w:val="20"/>
              </w:rPr>
              <w:t xml:space="preserve">331 </w:t>
            </w:r>
            <w:proofErr w:type="spellStart"/>
            <w:r w:rsidR="00D65929" w:rsidRPr="00D65929">
              <w:rPr>
                <w:rFonts w:ascii="Times New Roman" w:eastAsia="MS Mincho" w:hAnsi="Times New Roman"/>
                <w:sz w:val="20"/>
                <w:szCs w:val="20"/>
              </w:rPr>
              <w:t>k.s.h</w:t>
            </w:r>
            <w:proofErr w:type="spellEnd"/>
            <w:r w:rsidR="00D65929" w:rsidRPr="00D65929">
              <w:rPr>
                <w:rFonts w:ascii="Times New Roman" w:eastAsia="MS Mincho" w:hAnsi="Times New Roman"/>
                <w:sz w:val="20"/>
                <w:szCs w:val="20"/>
              </w:rPr>
              <w:t>.</w:t>
            </w:r>
            <w:r w:rsidR="00D65929">
              <w:t xml:space="preserve"> i </w:t>
            </w:r>
            <w:r w:rsidR="00D65929" w:rsidRPr="00D65929">
              <w:rPr>
                <w:rFonts w:ascii="Times New Roman" w:eastAsia="MS Mincho" w:hAnsi="Times New Roman"/>
                <w:sz w:val="20"/>
                <w:szCs w:val="20"/>
              </w:rPr>
              <w:t>art. 331</w:t>
            </w:r>
            <w:r w:rsidR="00D65929" w:rsidRPr="00D65929">
              <w:rPr>
                <w:rFonts w:ascii="Times New Roman" w:eastAsia="MS Mincho" w:hAnsi="Times New Roman"/>
                <w:sz w:val="20"/>
                <w:szCs w:val="20"/>
                <w:vertAlign w:val="superscript"/>
              </w:rPr>
              <w:t>1</w:t>
            </w:r>
            <w:r w:rsidR="00D65929" w:rsidRPr="00D65929">
              <w:rPr>
                <w:rFonts w:ascii="Times New Roman" w:eastAsia="MS Mincho" w:hAnsi="Times New Roman"/>
                <w:sz w:val="20"/>
                <w:szCs w:val="20"/>
              </w:rPr>
              <w:t xml:space="preserve"> </w:t>
            </w:r>
            <w:proofErr w:type="spellStart"/>
            <w:r w:rsidR="00D65929" w:rsidRPr="00D65929">
              <w:rPr>
                <w:rFonts w:ascii="Times New Roman" w:eastAsia="MS Mincho" w:hAnsi="Times New Roman"/>
                <w:sz w:val="20"/>
                <w:szCs w:val="20"/>
              </w:rPr>
              <w:t>k.s.h</w:t>
            </w:r>
            <w:proofErr w:type="spellEnd"/>
            <w:r w:rsidR="00D65929">
              <w:rPr>
                <w:rFonts w:ascii="Times New Roman" w:eastAsia="MS Mincho" w:hAnsi="Times New Roman"/>
                <w:sz w:val="20"/>
                <w:szCs w:val="20"/>
              </w:rPr>
              <w:t>. tworzą</w:t>
            </w:r>
            <w:r w:rsidR="00F3294B">
              <w:rPr>
                <w:rFonts w:ascii="Times New Roman" w:eastAsia="MS Mincho" w:hAnsi="Times New Roman"/>
                <w:sz w:val="20"/>
                <w:szCs w:val="20"/>
              </w:rPr>
              <w:t xml:space="preserve"> </w:t>
            </w:r>
            <w:r w:rsidR="00CF3B97">
              <w:rPr>
                <w:rFonts w:ascii="Times New Roman" w:eastAsia="MS Mincho" w:hAnsi="Times New Roman"/>
                <w:sz w:val="20"/>
                <w:szCs w:val="20"/>
              </w:rPr>
              <w:t xml:space="preserve">logiczną </w:t>
            </w:r>
            <w:r w:rsidR="00D65929">
              <w:rPr>
                <w:rFonts w:ascii="Times New Roman" w:eastAsia="MS Mincho" w:hAnsi="Times New Roman"/>
                <w:sz w:val="20"/>
                <w:szCs w:val="20"/>
              </w:rPr>
              <w:t xml:space="preserve">spójną całość, tak że </w:t>
            </w:r>
            <w:r w:rsidR="00D65929" w:rsidRPr="00D65929">
              <w:rPr>
                <w:rFonts w:ascii="Times New Roman" w:eastAsia="MS Mincho" w:hAnsi="Times New Roman"/>
                <w:sz w:val="20"/>
                <w:szCs w:val="20"/>
              </w:rPr>
              <w:t xml:space="preserve"> </w:t>
            </w:r>
            <w:r w:rsidR="00F3294B">
              <w:rPr>
                <w:rFonts w:ascii="Times New Roman" w:eastAsia="MS Mincho" w:hAnsi="Times New Roman"/>
                <w:sz w:val="20"/>
                <w:szCs w:val="20"/>
              </w:rPr>
              <w:t>rezygnacja z</w:t>
            </w:r>
            <w:r w:rsidR="00F3294B" w:rsidRPr="00F3294B">
              <w:rPr>
                <w:rFonts w:ascii="Times New Roman" w:eastAsia="MS Mincho" w:hAnsi="Times New Roman"/>
                <w:sz w:val="20"/>
                <w:szCs w:val="20"/>
              </w:rPr>
              <w:t xml:space="preserve"> § 2</w:t>
            </w:r>
            <w:r w:rsidR="00F3294B">
              <w:rPr>
                <w:rFonts w:ascii="Times New Roman" w:eastAsia="MS Mincho" w:hAnsi="Times New Roman"/>
                <w:sz w:val="20"/>
                <w:szCs w:val="20"/>
              </w:rPr>
              <w:t xml:space="preserve"> w</w:t>
            </w:r>
            <w:r w:rsidR="00F3294B" w:rsidRPr="00F3294B">
              <w:rPr>
                <w:rFonts w:ascii="Times New Roman" w:eastAsia="MS Mincho" w:hAnsi="Times New Roman"/>
                <w:sz w:val="20"/>
                <w:szCs w:val="20"/>
              </w:rPr>
              <w:t xml:space="preserve"> art. 331</w:t>
            </w:r>
            <w:r w:rsidR="00F3294B" w:rsidRPr="00F3294B">
              <w:rPr>
                <w:rFonts w:ascii="Times New Roman" w:eastAsia="MS Mincho" w:hAnsi="Times New Roman"/>
                <w:sz w:val="20"/>
                <w:szCs w:val="20"/>
                <w:vertAlign w:val="superscript"/>
              </w:rPr>
              <w:t>1</w:t>
            </w:r>
            <w:r w:rsidR="00F3294B">
              <w:rPr>
                <w:rFonts w:ascii="Times New Roman" w:eastAsia="MS Mincho" w:hAnsi="Times New Roman"/>
                <w:sz w:val="20"/>
                <w:szCs w:val="20"/>
                <w:vertAlign w:val="superscript"/>
              </w:rPr>
              <w:t xml:space="preserve"> </w:t>
            </w:r>
            <w:proofErr w:type="spellStart"/>
            <w:r w:rsidR="00F3294B">
              <w:rPr>
                <w:rFonts w:ascii="Times New Roman" w:eastAsia="MS Mincho" w:hAnsi="Times New Roman"/>
                <w:sz w:val="20"/>
                <w:szCs w:val="20"/>
              </w:rPr>
              <w:t>k.s.</w:t>
            </w:r>
            <w:r w:rsidR="00CF3B97">
              <w:rPr>
                <w:rFonts w:ascii="Times New Roman" w:eastAsia="MS Mincho" w:hAnsi="Times New Roman"/>
                <w:sz w:val="20"/>
                <w:szCs w:val="20"/>
              </w:rPr>
              <w:t>h</w:t>
            </w:r>
            <w:proofErr w:type="spellEnd"/>
            <w:r w:rsidR="00CF3B97">
              <w:rPr>
                <w:rFonts w:ascii="Times New Roman" w:eastAsia="MS Mincho" w:hAnsi="Times New Roman"/>
                <w:sz w:val="20"/>
                <w:szCs w:val="20"/>
              </w:rPr>
              <w:t>. nie jest zasadna.</w:t>
            </w:r>
          </w:p>
          <w:p w:rsidR="00FF491E" w:rsidRPr="00FC332A" w:rsidRDefault="002131DB" w:rsidP="002131DB">
            <w:pPr>
              <w:jc w:val="both"/>
              <w:rPr>
                <w:rFonts w:ascii="Times New Roman" w:eastAsia="MS Mincho" w:hAnsi="Times New Roman"/>
                <w:sz w:val="20"/>
                <w:szCs w:val="20"/>
              </w:rPr>
            </w:pPr>
            <w:r>
              <w:rPr>
                <w:rFonts w:ascii="Times New Roman" w:eastAsia="MS Mincho" w:hAnsi="Times New Roman"/>
                <w:sz w:val="20"/>
                <w:szCs w:val="20"/>
              </w:rPr>
              <w:t xml:space="preserve">Kwestia najwłaściwszego umiejscowienia regulacji zawartej w </w:t>
            </w:r>
            <w:r w:rsidR="00D14105">
              <w:rPr>
                <w:rFonts w:ascii="Times New Roman" w:eastAsia="MS Mincho" w:hAnsi="Times New Roman"/>
                <w:sz w:val="20"/>
                <w:szCs w:val="20"/>
              </w:rPr>
              <w:t xml:space="preserve">§ </w:t>
            </w:r>
            <w:r w:rsidR="00983803">
              <w:rPr>
                <w:rFonts w:ascii="Times New Roman" w:eastAsia="MS Mincho" w:hAnsi="Times New Roman"/>
                <w:sz w:val="20"/>
                <w:szCs w:val="20"/>
              </w:rPr>
              <w:t xml:space="preserve">2 </w:t>
            </w:r>
            <w:r w:rsidR="00D14105">
              <w:rPr>
                <w:rFonts w:ascii="Times New Roman" w:eastAsia="MS Mincho" w:hAnsi="Times New Roman"/>
                <w:sz w:val="20"/>
                <w:szCs w:val="20"/>
              </w:rPr>
              <w:t xml:space="preserve">art. 331 </w:t>
            </w:r>
            <w:proofErr w:type="spellStart"/>
            <w:r>
              <w:rPr>
                <w:rFonts w:ascii="Times New Roman" w:eastAsia="MS Mincho" w:hAnsi="Times New Roman"/>
                <w:sz w:val="20"/>
                <w:szCs w:val="20"/>
              </w:rPr>
              <w:t>k.s</w:t>
            </w:r>
            <w:r w:rsidR="006308CF">
              <w:rPr>
                <w:rFonts w:ascii="Times New Roman" w:eastAsia="MS Mincho" w:hAnsi="Times New Roman"/>
                <w:sz w:val="20"/>
                <w:szCs w:val="20"/>
              </w:rPr>
              <w:t>.</w:t>
            </w:r>
            <w:r>
              <w:rPr>
                <w:rFonts w:ascii="Times New Roman" w:eastAsia="MS Mincho" w:hAnsi="Times New Roman"/>
                <w:sz w:val="20"/>
                <w:szCs w:val="20"/>
              </w:rPr>
              <w:t>h</w:t>
            </w:r>
            <w:proofErr w:type="spellEnd"/>
            <w:r>
              <w:rPr>
                <w:rFonts w:ascii="Times New Roman" w:eastAsia="MS Mincho" w:hAnsi="Times New Roman"/>
                <w:sz w:val="20"/>
                <w:szCs w:val="20"/>
              </w:rPr>
              <w:t>. może być rozważona na etapie Komisji Prawniczej.</w:t>
            </w:r>
          </w:p>
        </w:tc>
      </w:tr>
      <w:tr w:rsidR="00FF491E" w:rsidRPr="00ED613F" w:rsidTr="00ED613F">
        <w:trPr>
          <w:trHeight w:val="2363"/>
        </w:trPr>
        <w:tc>
          <w:tcPr>
            <w:tcW w:w="572" w:type="dxa"/>
          </w:tcPr>
          <w:p w:rsidR="00FF491E" w:rsidRPr="00ED613F" w:rsidRDefault="00FF491E" w:rsidP="00F72F82">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26.</w:t>
            </w:r>
          </w:p>
        </w:tc>
        <w:tc>
          <w:tcPr>
            <w:tcW w:w="2127" w:type="dxa"/>
            <w:vMerge/>
          </w:tcPr>
          <w:p w:rsidR="00FF491E" w:rsidRPr="00ED613F" w:rsidRDefault="00FF491E" w:rsidP="00F72F82">
            <w:pPr>
              <w:jc w:val="center"/>
              <w:rPr>
                <w:rFonts w:ascii="Times New Roman" w:eastAsia="MS Mincho" w:hAnsi="Times New Roman"/>
                <w:b/>
                <w:sz w:val="20"/>
                <w:szCs w:val="20"/>
              </w:rPr>
            </w:pPr>
          </w:p>
        </w:tc>
        <w:tc>
          <w:tcPr>
            <w:tcW w:w="1291" w:type="dxa"/>
          </w:tcPr>
          <w:p w:rsidR="00FF491E" w:rsidRPr="00ED613F" w:rsidRDefault="00FF491E" w:rsidP="00F72F82">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MC</w:t>
            </w:r>
          </w:p>
        </w:tc>
        <w:tc>
          <w:tcPr>
            <w:tcW w:w="6041" w:type="dxa"/>
          </w:tcPr>
          <w:p w:rsidR="00FF491E" w:rsidRPr="00ED613F" w:rsidRDefault="00FF491E" w:rsidP="00F72F82">
            <w:pPr>
              <w:jc w:val="both"/>
              <w:rPr>
                <w:rFonts w:ascii="Times New Roman" w:eastAsia="MS Mincho" w:hAnsi="Times New Roman"/>
                <w:sz w:val="20"/>
                <w:szCs w:val="20"/>
              </w:rPr>
            </w:pPr>
            <w:r w:rsidRPr="00ED613F">
              <w:rPr>
                <w:rFonts w:ascii="Times New Roman" w:eastAsia="MS Mincho" w:hAnsi="Times New Roman"/>
                <w:sz w:val="20"/>
                <w:szCs w:val="20"/>
              </w:rPr>
              <w:t>W projektowanym art. 331 § 1 należałoby, na wzór art. 331</w:t>
            </w:r>
            <w:r w:rsidRPr="00ED613F">
              <w:rPr>
                <w:rFonts w:ascii="Times New Roman" w:eastAsia="MS Mincho" w:hAnsi="Times New Roman"/>
                <w:sz w:val="20"/>
                <w:szCs w:val="20"/>
                <w:vertAlign w:val="superscript"/>
              </w:rPr>
              <w:t>1</w:t>
            </w:r>
            <w:r w:rsidRPr="00ED613F">
              <w:rPr>
                <w:rFonts w:ascii="Times New Roman" w:eastAsia="MS Mincho" w:hAnsi="Times New Roman"/>
                <w:sz w:val="20"/>
                <w:szCs w:val="20"/>
              </w:rPr>
              <w:t xml:space="preserve"> § 1 i 4, uwzględnić możliwość powiadomienia akcjonariusza o możliwości pozbawienia go przez spółkę praw udziałowych przez wykreślenie go z rejestru, wysyłając je na adres poczty elektronicznej. Niejasne są bowiem przesłanki, dla których w projektowanym art. 331</w:t>
            </w:r>
            <w:r w:rsidRPr="00ED613F">
              <w:rPr>
                <w:rFonts w:ascii="Times New Roman" w:eastAsia="MS Mincho" w:hAnsi="Times New Roman"/>
                <w:sz w:val="20"/>
                <w:szCs w:val="20"/>
                <w:vertAlign w:val="superscript"/>
              </w:rPr>
              <w:t>1</w:t>
            </w:r>
            <w:r w:rsidRPr="00ED613F">
              <w:rPr>
                <w:rFonts w:ascii="Times New Roman" w:eastAsia="MS Mincho" w:hAnsi="Times New Roman"/>
                <w:sz w:val="20"/>
                <w:szCs w:val="20"/>
              </w:rPr>
              <w:t xml:space="preserve"> § 1 i 4 przewidziano możliwość wysłania na adres poczty elektronicznej akcjonariusza wezwania do spełnienia zaległego świadczenia oraz zawiadomienia o pozbawieniu akcjonariusza praw udziałowych, zaś takiego rozwiązania nie przewidziano w przypadku, o którym mowa w art. 331 § 1.</w:t>
            </w:r>
          </w:p>
        </w:tc>
        <w:tc>
          <w:tcPr>
            <w:tcW w:w="5436" w:type="dxa"/>
          </w:tcPr>
          <w:p w:rsidR="00D321A6" w:rsidRPr="00BB4884" w:rsidRDefault="003E7A6A" w:rsidP="00D321A6">
            <w:pPr>
              <w:jc w:val="both"/>
              <w:rPr>
                <w:rFonts w:ascii="Times New Roman" w:eastAsia="MS Mincho" w:hAnsi="Times New Roman"/>
                <w:b/>
                <w:sz w:val="20"/>
                <w:szCs w:val="20"/>
              </w:rPr>
            </w:pPr>
            <w:r>
              <w:rPr>
                <w:rFonts w:ascii="Times New Roman" w:hAnsi="Times New Roman"/>
                <w:sz w:val="20"/>
                <w:szCs w:val="20"/>
              </w:rPr>
              <w:t>Wyjaśniono</w:t>
            </w:r>
            <w:r w:rsidR="00816EA0">
              <w:rPr>
                <w:rFonts w:ascii="Times New Roman" w:hAnsi="Times New Roman"/>
                <w:sz w:val="20"/>
                <w:szCs w:val="20"/>
              </w:rPr>
              <w:t xml:space="preserve">, że formy komunikacji z akcjonariuszem wskazane </w:t>
            </w:r>
            <w:r w:rsidR="00DF5133">
              <w:rPr>
                <w:rFonts w:ascii="Times New Roman" w:hAnsi="Times New Roman"/>
                <w:sz w:val="20"/>
                <w:szCs w:val="20"/>
              </w:rPr>
              <w:t xml:space="preserve">w </w:t>
            </w:r>
            <w:r w:rsidR="00816EA0">
              <w:rPr>
                <w:rFonts w:ascii="Times New Roman" w:hAnsi="Times New Roman"/>
                <w:sz w:val="20"/>
                <w:szCs w:val="20"/>
              </w:rPr>
              <w:t>a</w:t>
            </w:r>
            <w:r w:rsidR="003C655A" w:rsidRPr="003C655A">
              <w:rPr>
                <w:rFonts w:ascii="Times New Roman" w:hAnsi="Times New Roman"/>
                <w:sz w:val="20"/>
                <w:szCs w:val="20"/>
              </w:rPr>
              <w:t xml:space="preserve">rt. 331 § 1 </w:t>
            </w:r>
            <w:proofErr w:type="spellStart"/>
            <w:r w:rsidR="008B216E">
              <w:rPr>
                <w:rFonts w:ascii="Times New Roman" w:hAnsi="Times New Roman"/>
                <w:sz w:val="20"/>
                <w:szCs w:val="20"/>
              </w:rPr>
              <w:t>k.s.h</w:t>
            </w:r>
            <w:proofErr w:type="spellEnd"/>
            <w:r w:rsidR="008B216E">
              <w:rPr>
                <w:rFonts w:ascii="Times New Roman" w:hAnsi="Times New Roman"/>
                <w:sz w:val="20"/>
                <w:szCs w:val="20"/>
              </w:rPr>
              <w:t xml:space="preserve">. są pochodną regulacji zawartej w art.330 </w:t>
            </w:r>
            <w:proofErr w:type="spellStart"/>
            <w:r w:rsidR="008B216E">
              <w:rPr>
                <w:rFonts w:ascii="Times New Roman" w:hAnsi="Times New Roman"/>
                <w:sz w:val="20"/>
                <w:szCs w:val="20"/>
              </w:rPr>
              <w:t>k.s.h</w:t>
            </w:r>
            <w:proofErr w:type="spellEnd"/>
            <w:r w:rsidR="008B216E">
              <w:rPr>
                <w:rFonts w:ascii="Times New Roman" w:hAnsi="Times New Roman"/>
                <w:sz w:val="20"/>
                <w:szCs w:val="20"/>
              </w:rPr>
              <w:t>.</w:t>
            </w:r>
            <w:r w:rsidR="00D321A6">
              <w:rPr>
                <w:rFonts w:ascii="Times New Roman" w:hAnsi="Times New Roman"/>
                <w:sz w:val="20"/>
                <w:szCs w:val="20"/>
              </w:rPr>
              <w:t xml:space="preserve">, który jako niemający związku z dematerializacją nie jest objęty zakresem projektu. </w:t>
            </w:r>
          </w:p>
          <w:p w:rsidR="00BB4884" w:rsidRPr="00BB4884" w:rsidRDefault="00BB4884" w:rsidP="00BB4884">
            <w:pPr>
              <w:jc w:val="both"/>
              <w:rPr>
                <w:rFonts w:ascii="Times New Roman" w:eastAsia="MS Mincho" w:hAnsi="Times New Roman"/>
                <w:b/>
                <w:sz w:val="20"/>
                <w:szCs w:val="20"/>
              </w:rPr>
            </w:pPr>
          </w:p>
        </w:tc>
      </w:tr>
      <w:tr w:rsidR="00FF491E" w:rsidRPr="00ED613F" w:rsidTr="00ED613F">
        <w:trPr>
          <w:trHeight w:val="839"/>
        </w:trPr>
        <w:tc>
          <w:tcPr>
            <w:tcW w:w="572" w:type="dxa"/>
          </w:tcPr>
          <w:p w:rsidR="00FF491E" w:rsidRPr="00ED613F" w:rsidRDefault="00FF491E" w:rsidP="00F72F82">
            <w:pPr>
              <w:spacing w:line="276" w:lineRule="auto"/>
              <w:rPr>
                <w:rFonts w:ascii="Times New Roman" w:eastAsia="MS Mincho" w:hAnsi="Times New Roman"/>
                <w:sz w:val="20"/>
                <w:szCs w:val="20"/>
              </w:rPr>
            </w:pPr>
            <w:r w:rsidRPr="00ED613F">
              <w:rPr>
                <w:rFonts w:ascii="Times New Roman" w:eastAsia="MS Mincho" w:hAnsi="Times New Roman"/>
                <w:sz w:val="20"/>
                <w:szCs w:val="20"/>
              </w:rPr>
              <w:t>27.</w:t>
            </w:r>
          </w:p>
        </w:tc>
        <w:tc>
          <w:tcPr>
            <w:tcW w:w="2127" w:type="dxa"/>
            <w:vMerge w:val="restart"/>
          </w:tcPr>
          <w:p w:rsidR="00FF491E" w:rsidRPr="00ED613F" w:rsidRDefault="00FF491E" w:rsidP="00F72F82">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8</w:t>
            </w:r>
          </w:p>
          <w:p w:rsidR="00FF491E" w:rsidRPr="00ED613F" w:rsidRDefault="00FF491E" w:rsidP="00F72F82">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art. 331</w:t>
            </w:r>
            <w:r w:rsidRPr="00ED613F">
              <w:rPr>
                <w:rFonts w:ascii="Times New Roman" w:eastAsia="MS Mincho" w:hAnsi="Times New Roman"/>
                <w:b/>
                <w:sz w:val="20"/>
                <w:szCs w:val="20"/>
                <w:vertAlign w:val="superscript"/>
                <w:lang w:val="de-DE"/>
              </w:rPr>
              <w:t>1</w:t>
            </w:r>
            <w:r w:rsidRPr="00ED613F">
              <w:rPr>
                <w:rFonts w:ascii="Times New Roman" w:eastAsia="MS Mincho" w:hAnsi="Times New Roman"/>
                <w:b/>
                <w:sz w:val="20"/>
                <w:szCs w:val="20"/>
                <w:lang w:val="de-DE"/>
              </w:rPr>
              <w:t xml:space="preserve">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p w:rsidR="00FF491E" w:rsidRPr="00ED613F" w:rsidRDefault="00FF491E" w:rsidP="00F72F82">
            <w:pPr>
              <w:jc w:val="center"/>
              <w:rPr>
                <w:rFonts w:ascii="Times New Roman" w:eastAsia="MS Mincho" w:hAnsi="Times New Roman"/>
                <w:b/>
                <w:sz w:val="20"/>
                <w:szCs w:val="20"/>
                <w:lang w:val="de-DE"/>
              </w:rPr>
            </w:pPr>
          </w:p>
        </w:tc>
        <w:tc>
          <w:tcPr>
            <w:tcW w:w="1291" w:type="dxa"/>
          </w:tcPr>
          <w:p w:rsidR="00FF491E" w:rsidRPr="00ED613F" w:rsidRDefault="00FF491E" w:rsidP="00F72F82">
            <w:pPr>
              <w:spacing w:line="276" w:lineRule="auto"/>
              <w:jc w:val="center"/>
              <w:rPr>
                <w:rFonts w:ascii="Times New Roman" w:eastAsia="MS Mincho" w:hAnsi="Times New Roman"/>
                <w:b/>
                <w:sz w:val="20"/>
                <w:szCs w:val="20"/>
              </w:rPr>
            </w:pPr>
            <w:proofErr w:type="spellStart"/>
            <w:r w:rsidRPr="00ED613F">
              <w:rPr>
                <w:rFonts w:ascii="Times New Roman" w:eastAsia="MS Mincho" w:hAnsi="Times New Roman"/>
                <w:b/>
                <w:sz w:val="20"/>
                <w:szCs w:val="20"/>
              </w:rPr>
              <w:t>MRiRW</w:t>
            </w:r>
            <w:proofErr w:type="spellEnd"/>
          </w:p>
        </w:tc>
        <w:tc>
          <w:tcPr>
            <w:tcW w:w="6041" w:type="dxa"/>
          </w:tcPr>
          <w:p w:rsidR="00FF491E" w:rsidRPr="00ED613F" w:rsidRDefault="00FF491E" w:rsidP="00F72F82">
            <w:pPr>
              <w:spacing w:line="276" w:lineRule="auto"/>
              <w:rPr>
                <w:rFonts w:ascii="Times New Roman" w:eastAsia="MS Mincho" w:hAnsi="Times New Roman"/>
                <w:sz w:val="20"/>
                <w:szCs w:val="20"/>
              </w:rPr>
            </w:pPr>
            <w:r w:rsidRPr="00ED613F">
              <w:rPr>
                <w:rFonts w:ascii="Times New Roman" w:eastAsia="MS Mincho" w:hAnsi="Times New Roman"/>
                <w:sz w:val="20"/>
                <w:szCs w:val="20"/>
              </w:rPr>
              <w:t xml:space="preserve">Jak uwaga dot. art. 1 pkt 7 (dot. art. 331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w:t>
            </w:r>
          </w:p>
        </w:tc>
        <w:tc>
          <w:tcPr>
            <w:tcW w:w="5436" w:type="dxa"/>
          </w:tcPr>
          <w:p w:rsidR="00FF491E" w:rsidRPr="00CC1289" w:rsidRDefault="00CC1289" w:rsidP="00F72F82">
            <w:pPr>
              <w:jc w:val="both"/>
              <w:rPr>
                <w:rFonts w:ascii="Times New Roman" w:eastAsia="MS Mincho" w:hAnsi="Times New Roman"/>
                <w:sz w:val="20"/>
                <w:szCs w:val="20"/>
              </w:rPr>
            </w:pPr>
            <w:r w:rsidRPr="00CC1289">
              <w:rPr>
                <w:rFonts w:ascii="Times New Roman" w:eastAsia="MS Mincho" w:hAnsi="Times New Roman"/>
                <w:sz w:val="20"/>
                <w:szCs w:val="20"/>
              </w:rPr>
              <w:t xml:space="preserve">Vide wyjaśnienie do uwagi z pkt 25 </w:t>
            </w:r>
            <w:r w:rsidR="004A793D">
              <w:rPr>
                <w:rFonts w:ascii="Times New Roman" w:eastAsia="MS Mincho" w:hAnsi="Times New Roman"/>
                <w:sz w:val="20"/>
                <w:szCs w:val="20"/>
              </w:rPr>
              <w:t xml:space="preserve">niniejsze </w:t>
            </w:r>
            <w:r w:rsidRPr="00CC1289">
              <w:rPr>
                <w:rFonts w:ascii="Times New Roman" w:eastAsia="MS Mincho" w:hAnsi="Times New Roman"/>
                <w:sz w:val="20"/>
                <w:szCs w:val="20"/>
              </w:rPr>
              <w:t>tabeli.</w:t>
            </w:r>
          </w:p>
        </w:tc>
      </w:tr>
      <w:tr w:rsidR="00FF491E" w:rsidRPr="00ED613F" w:rsidTr="00ED613F">
        <w:tc>
          <w:tcPr>
            <w:tcW w:w="572" w:type="dxa"/>
          </w:tcPr>
          <w:p w:rsidR="00FF491E" w:rsidRPr="00ED613F" w:rsidRDefault="00FF491E" w:rsidP="00F72F82">
            <w:pPr>
              <w:spacing w:line="276" w:lineRule="auto"/>
              <w:jc w:val="center"/>
              <w:rPr>
                <w:rFonts w:ascii="Times New Roman" w:eastAsia="MS Mincho" w:hAnsi="Times New Roman"/>
                <w:sz w:val="20"/>
                <w:szCs w:val="20"/>
              </w:rPr>
            </w:pPr>
            <w:r w:rsidRPr="00ED613F">
              <w:rPr>
                <w:rFonts w:ascii="Times New Roman" w:eastAsia="MS Mincho" w:hAnsi="Times New Roman"/>
                <w:sz w:val="20"/>
                <w:szCs w:val="20"/>
              </w:rPr>
              <w:t>28.</w:t>
            </w:r>
          </w:p>
        </w:tc>
        <w:tc>
          <w:tcPr>
            <w:tcW w:w="2127" w:type="dxa"/>
            <w:vMerge/>
          </w:tcPr>
          <w:p w:rsidR="00FF491E" w:rsidRPr="00ED613F" w:rsidRDefault="00FF491E" w:rsidP="00F72F82">
            <w:pPr>
              <w:jc w:val="center"/>
              <w:rPr>
                <w:rFonts w:ascii="Times New Roman" w:eastAsia="MS Mincho" w:hAnsi="Times New Roman"/>
                <w:b/>
                <w:sz w:val="20"/>
                <w:szCs w:val="20"/>
              </w:rPr>
            </w:pPr>
          </w:p>
        </w:tc>
        <w:tc>
          <w:tcPr>
            <w:tcW w:w="1291" w:type="dxa"/>
          </w:tcPr>
          <w:p w:rsidR="00FF491E" w:rsidRPr="00ED613F" w:rsidRDefault="00FF491E" w:rsidP="00F72F82">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6F6473" w:rsidRDefault="00FF491E" w:rsidP="00F72F82">
            <w:pPr>
              <w:spacing w:line="276" w:lineRule="auto"/>
              <w:rPr>
                <w:rFonts w:ascii="Times New Roman" w:eastAsia="MS Mincho" w:hAnsi="Times New Roman"/>
                <w:sz w:val="20"/>
                <w:szCs w:val="20"/>
              </w:rPr>
            </w:pPr>
            <w:r w:rsidRPr="006F6473">
              <w:rPr>
                <w:rFonts w:ascii="Times New Roman" w:eastAsia="MS Mincho" w:hAnsi="Times New Roman"/>
                <w:sz w:val="20"/>
                <w:szCs w:val="20"/>
              </w:rPr>
              <w:t>Uwaga odnośnie do art. 331</w:t>
            </w:r>
            <w:r w:rsidRPr="006F6473">
              <w:rPr>
                <w:rFonts w:ascii="Times New Roman" w:eastAsia="MS Mincho" w:hAnsi="Times New Roman"/>
                <w:sz w:val="20"/>
                <w:szCs w:val="20"/>
                <w:vertAlign w:val="superscript"/>
              </w:rPr>
              <w:t>1</w:t>
            </w:r>
            <w:r w:rsidRPr="006F6473">
              <w:rPr>
                <w:rFonts w:ascii="Times New Roman" w:eastAsia="MS Mincho" w:hAnsi="Times New Roman"/>
                <w:sz w:val="20"/>
                <w:szCs w:val="20"/>
              </w:rPr>
              <w:t xml:space="preserve"> § 3 - analogicznie, jak w uwadze (nr 13) dot. art. 328</w:t>
            </w:r>
            <w:r w:rsidRPr="006F6473">
              <w:rPr>
                <w:rFonts w:ascii="Times New Roman" w:eastAsia="MS Mincho" w:hAnsi="Times New Roman"/>
                <w:sz w:val="20"/>
                <w:szCs w:val="20"/>
                <w:vertAlign w:val="superscript"/>
              </w:rPr>
              <w:t xml:space="preserve"> 4</w:t>
            </w:r>
            <w:r w:rsidRPr="006F6473">
              <w:rPr>
                <w:rFonts w:ascii="Times New Roman" w:eastAsia="MS Mincho" w:hAnsi="Times New Roman"/>
                <w:sz w:val="20"/>
                <w:szCs w:val="20"/>
              </w:rPr>
              <w:t xml:space="preserve"> § 3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w:t>
            </w:r>
          </w:p>
        </w:tc>
        <w:tc>
          <w:tcPr>
            <w:tcW w:w="5436" w:type="dxa"/>
          </w:tcPr>
          <w:p w:rsidR="0038473B" w:rsidRPr="006F6473" w:rsidRDefault="0038473B" w:rsidP="00F72F82">
            <w:pPr>
              <w:jc w:val="both"/>
              <w:rPr>
                <w:rFonts w:ascii="Times New Roman" w:eastAsia="MS Mincho" w:hAnsi="Times New Roman"/>
                <w:sz w:val="20"/>
                <w:szCs w:val="20"/>
              </w:rPr>
            </w:pPr>
            <w:r w:rsidRPr="006F6473">
              <w:rPr>
                <w:rFonts w:ascii="Times New Roman" w:eastAsia="MS Mincho" w:hAnsi="Times New Roman"/>
                <w:sz w:val="20"/>
                <w:szCs w:val="20"/>
              </w:rPr>
              <w:t xml:space="preserve">Vide wyjaśnienia i ustalenia dot. drugiej uwagi z pkt 13 </w:t>
            </w:r>
            <w:r w:rsidR="004A793D" w:rsidRPr="006F6473">
              <w:rPr>
                <w:rFonts w:ascii="Times New Roman" w:eastAsia="MS Mincho" w:hAnsi="Times New Roman"/>
                <w:sz w:val="20"/>
                <w:szCs w:val="20"/>
              </w:rPr>
              <w:t xml:space="preserve">niniejszej </w:t>
            </w:r>
            <w:r w:rsidRPr="006F6473">
              <w:rPr>
                <w:rFonts w:ascii="Times New Roman" w:eastAsia="MS Mincho" w:hAnsi="Times New Roman"/>
                <w:sz w:val="20"/>
                <w:szCs w:val="20"/>
              </w:rPr>
              <w:t>tabeli.</w:t>
            </w:r>
          </w:p>
          <w:p w:rsidR="00E3277D" w:rsidRPr="006F6473" w:rsidRDefault="00E3277D" w:rsidP="00F72F82">
            <w:pPr>
              <w:jc w:val="both"/>
              <w:rPr>
                <w:rFonts w:ascii="Times New Roman" w:eastAsia="MS Mincho" w:hAnsi="Times New Roman"/>
                <w:sz w:val="20"/>
                <w:szCs w:val="20"/>
              </w:rPr>
            </w:pPr>
            <w:r w:rsidRPr="006F6473">
              <w:rPr>
                <w:rFonts w:ascii="Times New Roman" w:eastAsia="MS Mincho" w:hAnsi="Times New Roman"/>
                <w:sz w:val="20"/>
                <w:szCs w:val="20"/>
              </w:rPr>
              <w:t>Ponadto, z § 3 art. 331</w:t>
            </w:r>
            <w:r w:rsidRPr="006F6473">
              <w:rPr>
                <w:rFonts w:ascii="Times New Roman" w:eastAsia="MS Mincho" w:hAnsi="Times New Roman"/>
                <w:sz w:val="20"/>
                <w:szCs w:val="20"/>
                <w:vertAlign w:val="superscript"/>
              </w:rPr>
              <w:t>1</w:t>
            </w:r>
            <w:r w:rsidRPr="006F6473">
              <w:rPr>
                <w:rFonts w:ascii="Times New Roman" w:eastAsia="MS Mincho" w:hAnsi="Times New Roman"/>
                <w:sz w:val="20"/>
                <w:szCs w:val="20"/>
              </w:rPr>
              <w:t xml:space="preserve">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wykreślono zdanie drugie jako zbędne</w:t>
            </w:r>
            <w:r w:rsidR="00B54A03" w:rsidRPr="006F6473">
              <w:rPr>
                <w:rFonts w:ascii="Times New Roman" w:eastAsia="MS Mincho" w:hAnsi="Times New Roman"/>
                <w:sz w:val="20"/>
                <w:szCs w:val="20"/>
              </w:rPr>
              <w:t>. Do sytuacji uregulowanej w omawianym przepisie, w zakresie procedury dokonywania wpisu (wykreślenia) w rejestrze akcjonariuszy</w:t>
            </w:r>
            <w:r w:rsidR="00875189" w:rsidRPr="006F6473">
              <w:rPr>
                <w:rFonts w:ascii="Times New Roman" w:eastAsia="MS Mincho" w:hAnsi="Times New Roman"/>
                <w:sz w:val="20"/>
                <w:szCs w:val="20"/>
              </w:rPr>
              <w:t>,</w:t>
            </w:r>
            <w:r w:rsidR="00B54A03" w:rsidRPr="006F6473">
              <w:rPr>
                <w:rFonts w:ascii="Times New Roman" w:eastAsia="MS Mincho" w:hAnsi="Times New Roman"/>
                <w:sz w:val="20"/>
                <w:szCs w:val="20"/>
              </w:rPr>
              <w:t xml:space="preserve"> znajd</w:t>
            </w:r>
            <w:r w:rsidR="00875189" w:rsidRPr="006F6473">
              <w:rPr>
                <w:rFonts w:ascii="Times New Roman" w:eastAsia="MS Mincho" w:hAnsi="Times New Roman"/>
                <w:sz w:val="20"/>
                <w:szCs w:val="20"/>
              </w:rPr>
              <w:t xml:space="preserve">ą bowiem zastosowanie mające charakter ogólny przepisy </w:t>
            </w:r>
            <w:r w:rsidR="00B54A03" w:rsidRPr="006F6473">
              <w:rPr>
                <w:rFonts w:ascii="Times New Roman" w:eastAsia="MS Mincho" w:hAnsi="Times New Roman"/>
                <w:sz w:val="20"/>
                <w:szCs w:val="20"/>
              </w:rPr>
              <w:t xml:space="preserve"> art. 328</w:t>
            </w:r>
            <w:r w:rsidR="00B54A03" w:rsidRPr="006F6473">
              <w:rPr>
                <w:rFonts w:ascii="Times New Roman" w:eastAsia="MS Mincho" w:hAnsi="Times New Roman"/>
                <w:sz w:val="20"/>
                <w:szCs w:val="20"/>
                <w:vertAlign w:val="superscript"/>
              </w:rPr>
              <w:t xml:space="preserve">4 </w:t>
            </w:r>
            <w:proofErr w:type="spellStart"/>
            <w:r w:rsidR="00B54A03" w:rsidRPr="006F6473">
              <w:rPr>
                <w:rFonts w:ascii="Times New Roman" w:eastAsia="MS Mincho" w:hAnsi="Times New Roman"/>
                <w:sz w:val="20"/>
                <w:szCs w:val="20"/>
              </w:rPr>
              <w:t>k.s.h</w:t>
            </w:r>
            <w:proofErr w:type="spellEnd"/>
            <w:r w:rsidR="00B54A03" w:rsidRPr="006F6473">
              <w:rPr>
                <w:rFonts w:ascii="Times New Roman" w:eastAsia="MS Mincho" w:hAnsi="Times New Roman"/>
                <w:sz w:val="20"/>
                <w:szCs w:val="20"/>
              </w:rPr>
              <w:t>.</w:t>
            </w:r>
            <w:r w:rsidR="00C152C4" w:rsidRPr="006F6473">
              <w:rPr>
                <w:rFonts w:ascii="Times New Roman" w:eastAsia="MS Mincho" w:hAnsi="Times New Roman"/>
                <w:sz w:val="20"/>
                <w:szCs w:val="20"/>
              </w:rPr>
              <w:t xml:space="preserve"> Kwestia ta zostanie zaznaczona wyraźnie w uzasadnieniu.</w:t>
            </w:r>
          </w:p>
          <w:p w:rsidR="00D276C4" w:rsidRPr="006F6473" w:rsidRDefault="00D276C4" w:rsidP="00926B23">
            <w:pPr>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F72F82">
            <w:pPr>
              <w:jc w:val="both"/>
              <w:rPr>
                <w:rFonts w:ascii="Times New Roman" w:eastAsia="MS Mincho" w:hAnsi="Times New Roman"/>
                <w:sz w:val="20"/>
                <w:szCs w:val="20"/>
              </w:rPr>
            </w:pPr>
            <w:r w:rsidRPr="00ED613F">
              <w:rPr>
                <w:rFonts w:ascii="Times New Roman" w:eastAsia="MS Mincho" w:hAnsi="Times New Roman"/>
                <w:sz w:val="20"/>
                <w:szCs w:val="20"/>
              </w:rPr>
              <w:t>29.</w:t>
            </w:r>
          </w:p>
        </w:tc>
        <w:tc>
          <w:tcPr>
            <w:tcW w:w="2127" w:type="dxa"/>
          </w:tcPr>
          <w:p w:rsidR="00FF491E" w:rsidRPr="00ED613F" w:rsidRDefault="00FF491E" w:rsidP="00F72F82">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16</w:t>
            </w:r>
          </w:p>
          <w:p w:rsidR="00FF491E" w:rsidRPr="00ED613F" w:rsidRDefault="00FF491E" w:rsidP="00F72F82">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348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tc>
        <w:tc>
          <w:tcPr>
            <w:tcW w:w="1291" w:type="dxa"/>
          </w:tcPr>
          <w:p w:rsidR="00FF491E" w:rsidRPr="00ED613F" w:rsidRDefault="00FF491E" w:rsidP="00F72F82">
            <w:pPr>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FF491E" w:rsidRPr="006F6473" w:rsidRDefault="00FF491E" w:rsidP="00934BD1">
            <w:pPr>
              <w:jc w:val="both"/>
              <w:rPr>
                <w:rFonts w:ascii="Times New Roman" w:eastAsia="MS Mincho" w:hAnsi="Times New Roman"/>
                <w:sz w:val="20"/>
                <w:szCs w:val="20"/>
              </w:rPr>
            </w:pPr>
            <w:r w:rsidRPr="006F6473">
              <w:rPr>
                <w:rFonts w:ascii="Times New Roman" w:eastAsia="MS Mincho" w:hAnsi="Times New Roman"/>
                <w:sz w:val="20"/>
                <w:szCs w:val="20"/>
              </w:rPr>
              <w:t xml:space="preserve">Ministerstwo Rozwoju zwraca uwagę na potrzebę uwzględnienia w projekcie zmian w brzmieniu art. 348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xml:space="preserve">. wprowadzonych ustawą z dnia 16 </w:t>
            </w:r>
            <w:r w:rsidR="00934BD1" w:rsidRPr="006F6473">
              <w:rPr>
                <w:rFonts w:ascii="Times New Roman" w:eastAsia="MS Mincho" w:hAnsi="Times New Roman"/>
                <w:sz w:val="20"/>
                <w:szCs w:val="20"/>
              </w:rPr>
              <w:t>grudnia</w:t>
            </w:r>
            <w:r w:rsidRPr="006F6473">
              <w:rPr>
                <w:rFonts w:ascii="Times New Roman" w:eastAsia="MS Mincho" w:hAnsi="Times New Roman"/>
                <w:sz w:val="20"/>
                <w:szCs w:val="20"/>
              </w:rPr>
              <w:t xml:space="preserve"> 2016 r. o zmianie niektórych ustaw w celu poprawy otoczenia prawnego przedsiębiorców. W szczególności postulujemy, by w projektowanym § 3 art. 348 (art. 1 pkt 16 projektu) wskazać, że w przypadku spółki publicznej dzień dywidendy może być wyznaczony na dzień przypadający nie wcześniej niż pięć dni i nie później niż trzy miesiące od dnia powzięcia uchwały (por. art. 11 pkt 6 ustawy o zmianie niektórych ustaw w celu poprawy otoczenia prawnego przedsiębiorców). Wprowadzenie takiej normy w ww. ustawie stanowiło odpowiedź na postulaty podmiotów funk</w:t>
            </w:r>
            <w:r w:rsidR="000258C8" w:rsidRPr="006F6473">
              <w:rPr>
                <w:rFonts w:ascii="Times New Roman" w:eastAsia="MS Mincho" w:hAnsi="Times New Roman"/>
                <w:sz w:val="20"/>
                <w:szCs w:val="20"/>
              </w:rPr>
              <w:t>cjonujących na rynku giełdowym.</w:t>
            </w:r>
          </w:p>
          <w:p w:rsidR="00C2067E" w:rsidRPr="006F6473" w:rsidRDefault="00C2067E" w:rsidP="00934BD1">
            <w:pPr>
              <w:jc w:val="both"/>
              <w:rPr>
                <w:rFonts w:ascii="Times New Roman" w:eastAsia="MS Mincho" w:hAnsi="Times New Roman"/>
                <w:sz w:val="20"/>
                <w:szCs w:val="20"/>
              </w:rPr>
            </w:pPr>
          </w:p>
          <w:p w:rsidR="000258C8" w:rsidRPr="006F6473" w:rsidRDefault="000258C8" w:rsidP="000258C8">
            <w:pPr>
              <w:jc w:val="both"/>
              <w:rPr>
                <w:rFonts w:ascii="Times New Roman" w:eastAsia="MS Mincho" w:hAnsi="Times New Roman"/>
                <w:sz w:val="20"/>
                <w:szCs w:val="20"/>
              </w:rPr>
            </w:pPr>
            <w:r w:rsidRPr="006F6473">
              <w:rPr>
                <w:rFonts w:ascii="Times New Roman" w:eastAsia="MS Mincho" w:hAnsi="Times New Roman"/>
                <w:sz w:val="20"/>
                <w:szCs w:val="20"/>
              </w:rPr>
              <w:t xml:space="preserve">Postulat utrzymania na gruncie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przepisu określającego maksymalny termin wypłaty dywidendy (por. art. 11 pkt 6 ustawy o zmianie niektórych ustaw w celu poprawy otoczenia prawnego przedsiębiorców, w którym wskazano, że termin wypłaty dywidendy może być wyznaczony w okresie kolejnych trzech miesięcy, licząc od dnia dywidendy).</w:t>
            </w:r>
          </w:p>
        </w:tc>
        <w:tc>
          <w:tcPr>
            <w:tcW w:w="5436" w:type="dxa"/>
          </w:tcPr>
          <w:p w:rsidR="00FF491E" w:rsidRPr="006F6473" w:rsidRDefault="005F1DF6" w:rsidP="00A9439B">
            <w:pPr>
              <w:jc w:val="both"/>
              <w:rPr>
                <w:rFonts w:ascii="Times New Roman" w:eastAsia="MS Mincho" w:hAnsi="Times New Roman"/>
                <w:sz w:val="20"/>
                <w:szCs w:val="20"/>
              </w:rPr>
            </w:pPr>
            <w:r w:rsidRPr="006F6473">
              <w:rPr>
                <w:rFonts w:ascii="Times New Roman" w:eastAsia="MS Mincho" w:hAnsi="Times New Roman"/>
                <w:sz w:val="20"/>
                <w:szCs w:val="20"/>
              </w:rPr>
              <w:t>Uwag</w:t>
            </w:r>
            <w:r w:rsidR="00C2067E" w:rsidRPr="006F6473">
              <w:rPr>
                <w:rFonts w:ascii="Times New Roman" w:eastAsia="MS Mincho" w:hAnsi="Times New Roman"/>
                <w:sz w:val="20"/>
                <w:szCs w:val="20"/>
              </w:rPr>
              <w:t>i</w:t>
            </w:r>
            <w:r w:rsidRPr="006F6473">
              <w:rPr>
                <w:rFonts w:ascii="Times New Roman" w:eastAsia="MS Mincho" w:hAnsi="Times New Roman"/>
                <w:sz w:val="20"/>
                <w:szCs w:val="20"/>
              </w:rPr>
              <w:t xml:space="preserve"> został</w:t>
            </w:r>
            <w:r w:rsidR="00C2067E" w:rsidRPr="006F6473">
              <w:rPr>
                <w:rFonts w:ascii="Times New Roman" w:eastAsia="MS Mincho" w:hAnsi="Times New Roman"/>
                <w:sz w:val="20"/>
                <w:szCs w:val="20"/>
              </w:rPr>
              <w:t>y</w:t>
            </w:r>
            <w:r w:rsidRPr="006F6473">
              <w:rPr>
                <w:rFonts w:ascii="Times New Roman" w:eastAsia="MS Mincho" w:hAnsi="Times New Roman"/>
                <w:sz w:val="20"/>
                <w:szCs w:val="20"/>
              </w:rPr>
              <w:t xml:space="preserve"> uwzględnion</w:t>
            </w:r>
            <w:r w:rsidR="003A64CA" w:rsidRPr="006F6473">
              <w:rPr>
                <w:rFonts w:ascii="Times New Roman" w:eastAsia="MS Mincho" w:hAnsi="Times New Roman"/>
                <w:sz w:val="20"/>
                <w:szCs w:val="20"/>
              </w:rPr>
              <w:t>e:</w:t>
            </w:r>
            <w:r w:rsidRPr="006F6473">
              <w:rPr>
                <w:rFonts w:ascii="Times New Roman" w:eastAsia="MS Mincho" w:hAnsi="Times New Roman"/>
                <w:sz w:val="20"/>
                <w:szCs w:val="20"/>
              </w:rPr>
              <w:t xml:space="preserve"> </w:t>
            </w:r>
            <w:r w:rsidR="003A64CA" w:rsidRPr="006F6473">
              <w:rPr>
                <w:rFonts w:ascii="Times New Roman" w:eastAsia="MS Mincho" w:hAnsi="Times New Roman"/>
                <w:sz w:val="20"/>
                <w:szCs w:val="20"/>
              </w:rPr>
              <w:t>do § 4 i 5 omawianego artykułu zostaną</w:t>
            </w:r>
            <w:r w:rsidRPr="006F6473">
              <w:rPr>
                <w:rFonts w:ascii="Times New Roman" w:eastAsia="MS Mincho" w:hAnsi="Times New Roman"/>
                <w:sz w:val="20"/>
                <w:szCs w:val="20"/>
              </w:rPr>
              <w:t xml:space="preserve"> wprowadz</w:t>
            </w:r>
            <w:r w:rsidR="003A64CA" w:rsidRPr="006F6473">
              <w:rPr>
                <w:rFonts w:ascii="Times New Roman" w:eastAsia="MS Mincho" w:hAnsi="Times New Roman"/>
                <w:sz w:val="20"/>
                <w:szCs w:val="20"/>
              </w:rPr>
              <w:t>one</w:t>
            </w:r>
            <w:r w:rsidRPr="006F6473">
              <w:rPr>
                <w:rFonts w:ascii="Times New Roman" w:eastAsia="MS Mincho" w:hAnsi="Times New Roman"/>
                <w:sz w:val="20"/>
                <w:szCs w:val="20"/>
              </w:rPr>
              <w:t xml:space="preserve"> stosown</w:t>
            </w:r>
            <w:r w:rsidR="00796D77" w:rsidRPr="006F6473">
              <w:rPr>
                <w:rFonts w:ascii="Times New Roman" w:eastAsia="MS Mincho" w:hAnsi="Times New Roman"/>
                <w:sz w:val="20"/>
                <w:szCs w:val="20"/>
              </w:rPr>
              <w:t>e</w:t>
            </w:r>
            <w:r w:rsidRPr="006F6473">
              <w:rPr>
                <w:rFonts w:ascii="Times New Roman" w:eastAsia="MS Mincho" w:hAnsi="Times New Roman"/>
                <w:sz w:val="20"/>
                <w:szCs w:val="20"/>
              </w:rPr>
              <w:t xml:space="preserve"> zmian</w:t>
            </w:r>
            <w:r w:rsidR="00796D77" w:rsidRPr="006F6473">
              <w:rPr>
                <w:rFonts w:ascii="Times New Roman" w:eastAsia="MS Mincho" w:hAnsi="Times New Roman"/>
                <w:sz w:val="20"/>
                <w:szCs w:val="20"/>
              </w:rPr>
              <w:t>y,</w:t>
            </w:r>
            <w:r w:rsidR="001E00B2" w:rsidRPr="006F6473">
              <w:rPr>
                <w:rFonts w:ascii="Times New Roman" w:eastAsia="MS Mincho" w:hAnsi="Times New Roman"/>
                <w:sz w:val="20"/>
                <w:szCs w:val="20"/>
              </w:rPr>
              <w:t xml:space="preserve"> uwzglę</w:t>
            </w:r>
            <w:r w:rsidR="007E76C7" w:rsidRPr="006F6473">
              <w:rPr>
                <w:rFonts w:ascii="Times New Roman" w:eastAsia="MS Mincho" w:hAnsi="Times New Roman"/>
                <w:sz w:val="20"/>
                <w:szCs w:val="20"/>
              </w:rPr>
              <w:t>dniając</w:t>
            </w:r>
            <w:r w:rsidR="00796D77" w:rsidRPr="006F6473">
              <w:rPr>
                <w:rFonts w:ascii="Times New Roman" w:eastAsia="MS Mincho" w:hAnsi="Times New Roman"/>
                <w:sz w:val="20"/>
                <w:szCs w:val="20"/>
              </w:rPr>
              <w:t>e</w:t>
            </w:r>
            <w:r w:rsidR="007E76C7" w:rsidRPr="006F6473">
              <w:rPr>
                <w:rFonts w:ascii="Times New Roman" w:eastAsia="MS Mincho" w:hAnsi="Times New Roman"/>
                <w:sz w:val="20"/>
                <w:szCs w:val="20"/>
              </w:rPr>
              <w:t xml:space="preserve"> rozwiązania dotyczące </w:t>
            </w:r>
            <w:r w:rsidR="001E00B2" w:rsidRPr="006F6473">
              <w:rPr>
                <w:rFonts w:ascii="Times New Roman" w:eastAsia="MS Mincho" w:hAnsi="Times New Roman"/>
                <w:sz w:val="20"/>
                <w:szCs w:val="20"/>
              </w:rPr>
              <w:t xml:space="preserve">wyznaczania dnia dywidendy </w:t>
            </w:r>
            <w:r w:rsidR="00D96CA8" w:rsidRPr="006F6473">
              <w:rPr>
                <w:rFonts w:ascii="Times New Roman" w:eastAsia="MS Mincho" w:hAnsi="Times New Roman"/>
                <w:sz w:val="20"/>
                <w:szCs w:val="20"/>
              </w:rPr>
              <w:t xml:space="preserve">i terminu wypłaty dywidendy </w:t>
            </w:r>
            <w:r w:rsidR="001E00B2" w:rsidRPr="006F6473">
              <w:rPr>
                <w:rFonts w:ascii="Times New Roman" w:eastAsia="MS Mincho" w:hAnsi="Times New Roman"/>
                <w:sz w:val="20"/>
                <w:szCs w:val="20"/>
              </w:rPr>
              <w:t>w spółkach publicznych wprowadzon</w:t>
            </w:r>
            <w:r w:rsidR="00796D77" w:rsidRPr="006F6473">
              <w:rPr>
                <w:rFonts w:ascii="Times New Roman" w:eastAsia="MS Mincho" w:hAnsi="Times New Roman"/>
                <w:sz w:val="20"/>
                <w:szCs w:val="20"/>
              </w:rPr>
              <w:t>e</w:t>
            </w:r>
            <w:r w:rsidR="001E00B2" w:rsidRPr="006F6473">
              <w:rPr>
                <w:rFonts w:ascii="Times New Roman" w:eastAsia="MS Mincho" w:hAnsi="Times New Roman"/>
                <w:sz w:val="20"/>
                <w:szCs w:val="20"/>
              </w:rPr>
              <w:t xml:space="preserve"> d</w:t>
            </w:r>
            <w:r w:rsidR="00D107E1" w:rsidRPr="006F6473">
              <w:rPr>
                <w:rFonts w:ascii="Times New Roman" w:eastAsia="MS Mincho" w:hAnsi="Times New Roman"/>
                <w:sz w:val="20"/>
                <w:szCs w:val="20"/>
              </w:rPr>
              <w:t xml:space="preserve">o </w:t>
            </w:r>
            <w:proofErr w:type="spellStart"/>
            <w:r w:rsidR="00D107E1" w:rsidRPr="006F6473">
              <w:rPr>
                <w:rFonts w:ascii="Times New Roman" w:eastAsia="MS Mincho" w:hAnsi="Times New Roman"/>
                <w:sz w:val="20"/>
                <w:szCs w:val="20"/>
              </w:rPr>
              <w:t>k.s.h</w:t>
            </w:r>
            <w:proofErr w:type="spellEnd"/>
            <w:r w:rsidR="00D107E1" w:rsidRPr="006F6473">
              <w:rPr>
                <w:rFonts w:ascii="Times New Roman" w:eastAsia="MS Mincho" w:hAnsi="Times New Roman"/>
                <w:sz w:val="20"/>
                <w:szCs w:val="20"/>
              </w:rPr>
              <w:t xml:space="preserve">. </w:t>
            </w:r>
            <w:r w:rsidR="00796D77" w:rsidRPr="006F6473">
              <w:rPr>
                <w:rFonts w:ascii="Times New Roman" w:eastAsia="MS Mincho" w:hAnsi="Times New Roman"/>
                <w:sz w:val="20"/>
                <w:szCs w:val="20"/>
              </w:rPr>
              <w:t xml:space="preserve">ustawą </w:t>
            </w:r>
            <w:r w:rsidR="00D96CA8" w:rsidRPr="006F6473">
              <w:rPr>
                <w:rFonts w:ascii="Times New Roman" w:eastAsia="MS Mincho" w:hAnsi="Times New Roman"/>
                <w:sz w:val="20"/>
                <w:szCs w:val="20"/>
              </w:rPr>
              <w:t>z dnia 16 grudnia 2016 r.</w:t>
            </w:r>
            <w:r w:rsidR="00796D77" w:rsidRPr="006F6473">
              <w:rPr>
                <w:rFonts w:ascii="Times New Roman" w:eastAsia="MS Mincho" w:hAnsi="Times New Roman"/>
                <w:sz w:val="20"/>
                <w:szCs w:val="20"/>
              </w:rPr>
              <w:t xml:space="preserve"> o zmianie niektórych </w:t>
            </w:r>
            <w:r w:rsidR="00F0798D" w:rsidRPr="006F6473">
              <w:rPr>
                <w:rFonts w:ascii="Times New Roman" w:eastAsia="MS Mincho" w:hAnsi="Times New Roman"/>
                <w:sz w:val="20"/>
                <w:szCs w:val="20"/>
              </w:rPr>
              <w:t>ustaw</w:t>
            </w:r>
            <w:r w:rsidR="00796D77" w:rsidRPr="006F6473">
              <w:rPr>
                <w:rFonts w:ascii="Times New Roman" w:eastAsia="MS Mincho" w:hAnsi="Times New Roman"/>
                <w:sz w:val="20"/>
                <w:szCs w:val="20"/>
              </w:rPr>
              <w:t xml:space="preserve"> …</w:t>
            </w:r>
            <w:r w:rsidR="00D96CA8" w:rsidRPr="006F6473">
              <w:rPr>
                <w:rFonts w:ascii="Times New Roman" w:eastAsia="MS Mincho" w:hAnsi="Times New Roman"/>
                <w:sz w:val="20"/>
                <w:szCs w:val="20"/>
              </w:rPr>
              <w:t xml:space="preserve">, </w:t>
            </w:r>
            <w:r w:rsidR="00C2067E" w:rsidRPr="006F6473">
              <w:rPr>
                <w:rFonts w:ascii="Times New Roman" w:eastAsia="MS Mincho" w:hAnsi="Times New Roman"/>
                <w:sz w:val="20"/>
                <w:szCs w:val="20"/>
              </w:rPr>
              <w:t>przy czym rozwiązania</w:t>
            </w:r>
            <w:r w:rsidR="00F0798D" w:rsidRPr="006F6473">
              <w:rPr>
                <w:rFonts w:ascii="Times New Roman" w:eastAsia="MS Mincho" w:hAnsi="Times New Roman"/>
                <w:sz w:val="20"/>
                <w:szCs w:val="20"/>
              </w:rPr>
              <w:t xml:space="preserve"> te będą miały zastosowanie  także do</w:t>
            </w:r>
            <w:r w:rsidR="00D96CA8" w:rsidRPr="006F6473">
              <w:rPr>
                <w:rFonts w:ascii="Times New Roman" w:eastAsia="MS Mincho" w:hAnsi="Times New Roman"/>
                <w:sz w:val="20"/>
                <w:szCs w:val="20"/>
              </w:rPr>
              <w:t xml:space="preserve"> </w:t>
            </w:r>
            <w:r w:rsidR="008E5C65" w:rsidRPr="006F6473">
              <w:rPr>
                <w:rFonts w:ascii="Times New Roman" w:eastAsia="MS Mincho" w:hAnsi="Times New Roman"/>
                <w:sz w:val="20"/>
                <w:szCs w:val="20"/>
              </w:rPr>
              <w:t>spół</w:t>
            </w:r>
            <w:r w:rsidR="00F0798D" w:rsidRPr="006F6473">
              <w:rPr>
                <w:rFonts w:ascii="Times New Roman" w:eastAsia="MS Mincho" w:hAnsi="Times New Roman"/>
                <w:sz w:val="20"/>
                <w:szCs w:val="20"/>
              </w:rPr>
              <w:t>e</w:t>
            </w:r>
            <w:r w:rsidR="008E5C65" w:rsidRPr="006F6473">
              <w:rPr>
                <w:rFonts w:ascii="Times New Roman" w:eastAsia="MS Mincho" w:hAnsi="Times New Roman"/>
                <w:sz w:val="20"/>
                <w:szCs w:val="20"/>
              </w:rPr>
              <w:t>k niepubliczn</w:t>
            </w:r>
            <w:r w:rsidR="00F0798D" w:rsidRPr="006F6473">
              <w:rPr>
                <w:rFonts w:ascii="Times New Roman" w:eastAsia="MS Mincho" w:hAnsi="Times New Roman"/>
                <w:sz w:val="20"/>
                <w:szCs w:val="20"/>
              </w:rPr>
              <w:t>ych</w:t>
            </w:r>
            <w:r w:rsidR="00D96CA8" w:rsidRPr="006F6473">
              <w:rPr>
                <w:rFonts w:ascii="Times New Roman" w:eastAsia="MS Mincho" w:hAnsi="Times New Roman"/>
                <w:sz w:val="20"/>
                <w:szCs w:val="20"/>
              </w:rPr>
              <w:t xml:space="preserve"> zgodnie z ogólnym założeniem</w:t>
            </w:r>
            <w:r w:rsidR="00A9439B" w:rsidRPr="006F6473">
              <w:rPr>
                <w:rFonts w:ascii="Times New Roman" w:eastAsia="MS Mincho" w:hAnsi="Times New Roman"/>
                <w:sz w:val="20"/>
                <w:szCs w:val="20"/>
              </w:rPr>
              <w:t xml:space="preserve">, które przyświecało zmianom w art. 348 </w:t>
            </w:r>
            <w:proofErr w:type="spellStart"/>
            <w:r w:rsidR="00A9439B" w:rsidRPr="006F6473">
              <w:rPr>
                <w:rFonts w:ascii="Times New Roman" w:eastAsia="MS Mincho" w:hAnsi="Times New Roman"/>
                <w:sz w:val="20"/>
                <w:szCs w:val="20"/>
              </w:rPr>
              <w:t>k.s.h</w:t>
            </w:r>
            <w:proofErr w:type="spellEnd"/>
            <w:r w:rsidR="00A9439B" w:rsidRPr="006F6473">
              <w:rPr>
                <w:rFonts w:ascii="Times New Roman" w:eastAsia="MS Mincho" w:hAnsi="Times New Roman"/>
                <w:sz w:val="20"/>
                <w:szCs w:val="20"/>
              </w:rPr>
              <w:t>., ujednolicenia przepisó</w:t>
            </w:r>
            <w:r w:rsidR="003A64CA" w:rsidRPr="006F6473">
              <w:rPr>
                <w:rFonts w:ascii="Times New Roman" w:eastAsia="MS Mincho" w:hAnsi="Times New Roman"/>
                <w:sz w:val="20"/>
                <w:szCs w:val="20"/>
              </w:rPr>
              <w:t>w</w:t>
            </w:r>
            <w:r w:rsidR="00A9439B" w:rsidRPr="006F6473">
              <w:rPr>
                <w:rFonts w:ascii="Times New Roman" w:eastAsia="MS Mincho" w:hAnsi="Times New Roman"/>
                <w:sz w:val="20"/>
                <w:szCs w:val="20"/>
              </w:rPr>
              <w:t xml:space="preserve"> dot. ustalania dywidendy i terminu wypłaty dywidendy.</w:t>
            </w:r>
          </w:p>
          <w:p w:rsidR="00A9439B" w:rsidRPr="006F6473" w:rsidRDefault="003A64CA" w:rsidP="00A9439B">
            <w:pPr>
              <w:jc w:val="both"/>
              <w:rPr>
                <w:rFonts w:ascii="Times New Roman" w:eastAsia="MS Mincho" w:hAnsi="Times New Roman"/>
                <w:sz w:val="20"/>
                <w:szCs w:val="20"/>
              </w:rPr>
            </w:pPr>
            <w:r w:rsidRPr="006F6473">
              <w:rPr>
                <w:rFonts w:ascii="Times New Roman" w:eastAsia="MS Mincho" w:hAnsi="Times New Roman"/>
                <w:sz w:val="20"/>
                <w:szCs w:val="20"/>
              </w:rPr>
              <w:t xml:space="preserve">Zmianom tym będą dotyczyły </w:t>
            </w:r>
            <w:r w:rsidR="001738D5" w:rsidRPr="006F6473">
              <w:rPr>
                <w:rFonts w:ascii="Times New Roman" w:eastAsia="MS Mincho" w:hAnsi="Times New Roman"/>
                <w:sz w:val="20"/>
                <w:szCs w:val="20"/>
              </w:rPr>
              <w:t>stosowne</w:t>
            </w:r>
            <w:r w:rsidRPr="006F6473">
              <w:rPr>
                <w:rFonts w:ascii="Times New Roman" w:eastAsia="MS Mincho" w:hAnsi="Times New Roman"/>
                <w:sz w:val="20"/>
                <w:szCs w:val="20"/>
              </w:rPr>
              <w:t xml:space="preserve"> zmiany w </w:t>
            </w:r>
            <w:r w:rsidR="001738D5" w:rsidRPr="006F6473">
              <w:rPr>
                <w:rFonts w:ascii="Times New Roman" w:eastAsia="MS Mincho" w:hAnsi="Times New Roman"/>
                <w:sz w:val="20"/>
                <w:szCs w:val="20"/>
              </w:rPr>
              <w:t>uzasadnieniu</w:t>
            </w:r>
            <w:r w:rsidRPr="006F6473">
              <w:rPr>
                <w:rFonts w:ascii="Times New Roman" w:eastAsia="MS Mincho" w:hAnsi="Times New Roman"/>
                <w:sz w:val="20"/>
                <w:szCs w:val="20"/>
              </w:rPr>
              <w:t xml:space="preserve"> do projektu.</w:t>
            </w:r>
          </w:p>
          <w:p w:rsidR="003A64CA" w:rsidRPr="006F6473" w:rsidRDefault="003A64CA" w:rsidP="00A9439B">
            <w:pPr>
              <w:jc w:val="both"/>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30.</w:t>
            </w:r>
          </w:p>
        </w:tc>
        <w:tc>
          <w:tcPr>
            <w:tcW w:w="2127" w:type="dxa"/>
          </w:tcPr>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19</w:t>
            </w:r>
          </w:p>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361 § 1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tc>
        <w:tc>
          <w:tcPr>
            <w:tcW w:w="1291" w:type="dxa"/>
          </w:tcPr>
          <w:p w:rsidR="00FF491E" w:rsidRPr="00ED613F" w:rsidRDefault="00FF491E" w:rsidP="00ED613F">
            <w:pPr>
              <w:spacing w:line="276" w:lineRule="auto"/>
              <w:rPr>
                <w:rFonts w:ascii="Times New Roman" w:eastAsia="MS Mincho" w:hAnsi="Times New Roman"/>
                <w:b/>
                <w:sz w:val="20"/>
                <w:szCs w:val="20"/>
              </w:rPr>
            </w:pPr>
            <w:proofErr w:type="spellStart"/>
            <w:r w:rsidRPr="00ED613F">
              <w:rPr>
                <w:rFonts w:ascii="Times New Roman" w:eastAsia="MS Mincho" w:hAnsi="Times New Roman"/>
                <w:b/>
                <w:sz w:val="20"/>
                <w:szCs w:val="20"/>
              </w:rPr>
              <w:t>MRiRW</w:t>
            </w:r>
            <w:proofErr w:type="spellEnd"/>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W uzasadnieniu projektu ustawy wskazano, że celem proponowanych rozwiązań jest wprowadzenie podstawy dla obligatoryjnej dematerializacji akcji na okaziciela. Zatem należy zwrócić również uwagę na art. 304, 334, 352, 406</w:t>
            </w:r>
            <w:r w:rsidRPr="00ED613F">
              <w:rPr>
                <w:rFonts w:ascii="Times New Roman" w:eastAsia="MS Mincho" w:hAnsi="Times New Roman"/>
                <w:sz w:val="20"/>
                <w:szCs w:val="20"/>
                <w:vertAlign w:val="superscript"/>
              </w:rPr>
              <w:t>1</w:t>
            </w:r>
            <w:r w:rsidRPr="00ED613F">
              <w:rPr>
                <w:rFonts w:ascii="Times New Roman" w:eastAsia="MS Mincho" w:hAnsi="Times New Roman"/>
                <w:sz w:val="20"/>
                <w:szCs w:val="20"/>
              </w:rPr>
              <w:t xml:space="preserve">, 432 oraz 453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które w swojej treści odnoszą się do akcji na okaziciela i nie są pr</w:t>
            </w:r>
            <w:r w:rsidR="003C2F9D">
              <w:rPr>
                <w:rFonts w:ascii="Times New Roman" w:eastAsia="MS Mincho" w:hAnsi="Times New Roman"/>
                <w:sz w:val="20"/>
                <w:szCs w:val="20"/>
              </w:rPr>
              <w:t>zedmiotem projektowanej ustawy.</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Jednocześnie, analogicznie w projekcie ustawy w pkt 19, tj. w projektowanym art. 361 § 1, proponuje się rozważyć wykreślenie drugiego zdania.</w:t>
            </w:r>
          </w:p>
        </w:tc>
        <w:tc>
          <w:tcPr>
            <w:tcW w:w="5436" w:type="dxa"/>
          </w:tcPr>
          <w:p w:rsidR="00B11F0D" w:rsidRDefault="00701CF0" w:rsidP="00D60BC0">
            <w:pPr>
              <w:jc w:val="both"/>
              <w:rPr>
                <w:rFonts w:ascii="Times New Roman" w:eastAsia="MS Mincho" w:hAnsi="Times New Roman"/>
                <w:sz w:val="20"/>
                <w:szCs w:val="20"/>
              </w:rPr>
            </w:pPr>
            <w:r w:rsidRPr="00701CF0">
              <w:rPr>
                <w:rFonts w:ascii="Times New Roman" w:eastAsia="MS Mincho" w:hAnsi="Times New Roman"/>
                <w:sz w:val="20"/>
                <w:szCs w:val="20"/>
              </w:rPr>
              <w:t>Uwaga</w:t>
            </w:r>
            <w:r w:rsidR="00B11F0D" w:rsidRPr="00701CF0">
              <w:rPr>
                <w:rFonts w:ascii="Times New Roman" w:eastAsia="MS Mincho" w:hAnsi="Times New Roman"/>
                <w:sz w:val="20"/>
                <w:szCs w:val="20"/>
              </w:rPr>
              <w:t xml:space="preserve"> </w:t>
            </w:r>
            <w:r w:rsidR="00700A06" w:rsidRPr="00701CF0">
              <w:rPr>
                <w:rFonts w:ascii="Times New Roman" w:eastAsia="MS Mincho" w:hAnsi="Times New Roman"/>
                <w:sz w:val="20"/>
                <w:szCs w:val="20"/>
              </w:rPr>
              <w:t xml:space="preserve">została </w:t>
            </w:r>
            <w:r w:rsidRPr="00701CF0">
              <w:rPr>
                <w:rFonts w:ascii="Times New Roman" w:eastAsia="MS Mincho" w:hAnsi="Times New Roman"/>
                <w:sz w:val="20"/>
                <w:szCs w:val="20"/>
              </w:rPr>
              <w:t>wyjaśniona</w:t>
            </w:r>
            <w:r w:rsidR="00700A06" w:rsidRPr="00701CF0">
              <w:rPr>
                <w:rFonts w:ascii="Times New Roman" w:eastAsia="MS Mincho" w:hAnsi="Times New Roman"/>
                <w:sz w:val="20"/>
                <w:szCs w:val="20"/>
              </w:rPr>
              <w:t xml:space="preserve"> – v</w:t>
            </w:r>
            <w:r w:rsidRPr="00701CF0">
              <w:rPr>
                <w:rFonts w:ascii="Times New Roman" w:eastAsia="MS Mincho" w:hAnsi="Times New Roman"/>
                <w:sz w:val="20"/>
                <w:szCs w:val="20"/>
              </w:rPr>
              <w:t>i</w:t>
            </w:r>
            <w:r w:rsidR="00700A06" w:rsidRPr="00701CF0">
              <w:rPr>
                <w:rFonts w:ascii="Times New Roman" w:eastAsia="MS Mincho" w:hAnsi="Times New Roman"/>
                <w:sz w:val="20"/>
                <w:szCs w:val="20"/>
              </w:rPr>
              <w:t xml:space="preserve">de wyjaśnienia do </w:t>
            </w:r>
            <w:r w:rsidRPr="00701CF0">
              <w:rPr>
                <w:rFonts w:ascii="Times New Roman" w:eastAsia="MS Mincho" w:hAnsi="Times New Roman"/>
                <w:sz w:val="20"/>
                <w:szCs w:val="20"/>
              </w:rPr>
              <w:t xml:space="preserve">pierwszej </w:t>
            </w:r>
            <w:r w:rsidR="00700A06" w:rsidRPr="00701CF0">
              <w:rPr>
                <w:rFonts w:ascii="Times New Roman" w:eastAsia="MS Mincho" w:hAnsi="Times New Roman"/>
                <w:sz w:val="20"/>
                <w:szCs w:val="20"/>
              </w:rPr>
              <w:t>uwagi z pkt 3 tabeli</w:t>
            </w:r>
            <w:r w:rsidRPr="00701CF0">
              <w:rPr>
                <w:rFonts w:ascii="Times New Roman" w:eastAsia="MS Mincho" w:hAnsi="Times New Roman"/>
                <w:sz w:val="20"/>
                <w:szCs w:val="20"/>
              </w:rPr>
              <w:t>.</w:t>
            </w:r>
          </w:p>
          <w:p w:rsidR="00D60BC0" w:rsidRDefault="00D60BC0" w:rsidP="00D60BC0">
            <w:pPr>
              <w:jc w:val="both"/>
              <w:rPr>
                <w:rFonts w:ascii="Times New Roman" w:eastAsia="MS Mincho" w:hAnsi="Times New Roman"/>
                <w:sz w:val="20"/>
                <w:szCs w:val="20"/>
              </w:rPr>
            </w:pPr>
          </w:p>
          <w:p w:rsidR="00D60BC0" w:rsidRDefault="00D60BC0" w:rsidP="00D60BC0">
            <w:pPr>
              <w:jc w:val="both"/>
              <w:rPr>
                <w:rFonts w:ascii="Times New Roman" w:eastAsia="MS Mincho" w:hAnsi="Times New Roman"/>
                <w:sz w:val="20"/>
                <w:szCs w:val="20"/>
              </w:rPr>
            </w:pPr>
          </w:p>
          <w:p w:rsidR="00D60BC0" w:rsidRDefault="00D60BC0" w:rsidP="00D60BC0">
            <w:pPr>
              <w:jc w:val="both"/>
              <w:rPr>
                <w:rFonts w:ascii="Times New Roman" w:eastAsia="MS Mincho" w:hAnsi="Times New Roman"/>
                <w:sz w:val="20"/>
                <w:szCs w:val="20"/>
              </w:rPr>
            </w:pPr>
          </w:p>
          <w:p w:rsidR="00D60BC0" w:rsidRDefault="00D60BC0" w:rsidP="00D60BC0">
            <w:pPr>
              <w:jc w:val="both"/>
              <w:rPr>
                <w:rFonts w:ascii="Times New Roman" w:eastAsia="MS Mincho" w:hAnsi="Times New Roman"/>
                <w:sz w:val="20"/>
                <w:szCs w:val="20"/>
              </w:rPr>
            </w:pPr>
          </w:p>
          <w:p w:rsidR="00D60BC0" w:rsidRPr="00701CF0" w:rsidRDefault="00EB39DD" w:rsidP="00C87FD0">
            <w:pPr>
              <w:jc w:val="both"/>
              <w:rPr>
                <w:rFonts w:ascii="Times New Roman" w:eastAsia="MS Mincho" w:hAnsi="Times New Roman"/>
                <w:sz w:val="20"/>
                <w:szCs w:val="20"/>
              </w:rPr>
            </w:pPr>
            <w:r>
              <w:rPr>
                <w:rFonts w:ascii="Times New Roman" w:eastAsia="MS Mincho" w:hAnsi="Times New Roman"/>
                <w:sz w:val="20"/>
                <w:szCs w:val="20"/>
              </w:rPr>
              <w:t xml:space="preserve">Wskazano, że z tych samych przyczyn, dla których pozostawiono formalnie </w:t>
            </w:r>
            <w:r w:rsidR="00C87FD0">
              <w:rPr>
                <w:rFonts w:ascii="Times New Roman" w:eastAsia="MS Mincho" w:hAnsi="Times New Roman"/>
                <w:sz w:val="20"/>
                <w:szCs w:val="20"/>
              </w:rPr>
              <w:t>podział</w:t>
            </w:r>
            <w:r>
              <w:rPr>
                <w:rFonts w:ascii="Times New Roman" w:eastAsia="MS Mincho" w:hAnsi="Times New Roman"/>
                <w:sz w:val="20"/>
                <w:szCs w:val="20"/>
              </w:rPr>
              <w:t xml:space="preserve"> akcji </w:t>
            </w:r>
            <w:r w:rsidR="00C87FD0">
              <w:rPr>
                <w:rFonts w:ascii="Times New Roman" w:eastAsia="MS Mincho" w:hAnsi="Times New Roman"/>
                <w:sz w:val="20"/>
                <w:szCs w:val="20"/>
              </w:rPr>
              <w:t>na akcje</w:t>
            </w:r>
            <w:r>
              <w:rPr>
                <w:rFonts w:ascii="Times New Roman" w:eastAsia="MS Mincho" w:hAnsi="Times New Roman"/>
                <w:sz w:val="20"/>
                <w:szCs w:val="20"/>
              </w:rPr>
              <w:t xml:space="preserve"> </w:t>
            </w:r>
            <w:r w:rsidR="00C87FD0">
              <w:rPr>
                <w:rFonts w:ascii="Times New Roman" w:eastAsia="MS Mincho" w:hAnsi="Times New Roman"/>
                <w:sz w:val="20"/>
                <w:szCs w:val="20"/>
              </w:rPr>
              <w:t xml:space="preserve">imienne i </w:t>
            </w:r>
            <w:r>
              <w:rPr>
                <w:rFonts w:ascii="Times New Roman" w:eastAsia="MS Mincho" w:hAnsi="Times New Roman"/>
                <w:sz w:val="20"/>
                <w:szCs w:val="20"/>
              </w:rPr>
              <w:t>akcje na okaziciela</w:t>
            </w:r>
            <w:r w:rsidR="00C87FD0">
              <w:rPr>
                <w:rFonts w:ascii="Times New Roman" w:eastAsia="MS Mincho" w:hAnsi="Times New Roman"/>
                <w:sz w:val="20"/>
                <w:szCs w:val="20"/>
              </w:rPr>
              <w:t>, pozostawia się świadectwa użytkowe imienne i na okaziciela.</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31.</w:t>
            </w:r>
          </w:p>
        </w:tc>
        <w:tc>
          <w:tcPr>
            <w:tcW w:w="2127" w:type="dxa"/>
          </w:tcPr>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20</w:t>
            </w:r>
          </w:p>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402 § 3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tc>
        <w:tc>
          <w:tcPr>
            <w:tcW w:w="1291"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Projektowany przepis nie koresponduje z niezmienionym § 1 tego przepisu w zakresie terminów ogłoszenia o walnym zgromadzeniu, co wymaga ujednolicenia.</w:t>
            </w:r>
          </w:p>
        </w:tc>
        <w:tc>
          <w:tcPr>
            <w:tcW w:w="5436" w:type="dxa"/>
          </w:tcPr>
          <w:p w:rsidR="00FF491E" w:rsidRPr="00580542" w:rsidRDefault="00020381" w:rsidP="003C2F9D">
            <w:pPr>
              <w:jc w:val="both"/>
              <w:rPr>
                <w:rFonts w:ascii="Times New Roman" w:eastAsia="MS Mincho" w:hAnsi="Times New Roman"/>
                <w:sz w:val="20"/>
                <w:szCs w:val="20"/>
              </w:rPr>
            </w:pPr>
            <w:r>
              <w:rPr>
                <w:rFonts w:ascii="Times New Roman" w:eastAsia="MS Mincho" w:hAnsi="Times New Roman"/>
                <w:sz w:val="20"/>
                <w:szCs w:val="20"/>
              </w:rPr>
              <w:t>Uwaga został</w:t>
            </w:r>
            <w:r w:rsidR="00E01832">
              <w:rPr>
                <w:rFonts w:ascii="Times New Roman" w:eastAsia="MS Mincho" w:hAnsi="Times New Roman"/>
                <w:sz w:val="20"/>
                <w:szCs w:val="20"/>
              </w:rPr>
              <w:t>a</w:t>
            </w:r>
            <w:r>
              <w:rPr>
                <w:rFonts w:ascii="Times New Roman" w:eastAsia="MS Mincho" w:hAnsi="Times New Roman"/>
                <w:sz w:val="20"/>
                <w:szCs w:val="20"/>
              </w:rPr>
              <w:t xml:space="preserve"> wyjaśniona: terminy przewidziane w</w:t>
            </w:r>
            <w:r w:rsidR="00D07F68">
              <w:rPr>
                <w:rFonts w:ascii="Times New Roman" w:eastAsia="MS Mincho" w:hAnsi="Times New Roman"/>
                <w:sz w:val="20"/>
                <w:szCs w:val="20"/>
              </w:rPr>
              <w:t xml:space="preserve"> </w:t>
            </w:r>
            <w:r w:rsidR="00D07F68" w:rsidRPr="00D07F68">
              <w:rPr>
                <w:rFonts w:ascii="Times New Roman" w:eastAsia="MS Mincho" w:hAnsi="Times New Roman"/>
                <w:sz w:val="20"/>
                <w:szCs w:val="20"/>
              </w:rPr>
              <w:t>§</w:t>
            </w:r>
            <w:r w:rsidR="00D07F68">
              <w:rPr>
                <w:rFonts w:ascii="Times New Roman" w:eastAsia="MS Mincho" w:hAnsi="Times New Roman"/>
                <w:sz w:val="20"/>
                <w:szCs w:val="20"/>
              </w:rPr>
              <w:t xml:space="preserve"> 1 i </w:t>
            </w:r>
            <w:r w:rsidR="00D07F68" w:rsidRPr="00D07F68">
              <w:rPr>
                <w:rFonts w:ascii="Times New Roman" w:eastAsia="MS Mincho" w:hAnsi="Times New Roman"/>
                <w:sz w:val="20"/>
                <w:szCs w:val="20"/>
              </w:rPr>
              <w:t>§</w:t>
            </w:r>
            <w:r w:rsidR="00D07F68">
              <w:rPr>
                <w:rFonts w:ascii="Times New Roman" w:eastAsia="MS Mincho" w:hAnsi="Times New Roman"/>
                <w:sz w:val="20"/>
                <w:szCs w:val="20"/>
              </w:rPr>
              <w:t xml:space="preserve"> 3 omawianego artykułu są zróżnicowane (3 tygodnie – 2 tygodnie) już w obecnym stanie prawnym i w tym zakresie projekt niczego nie zmienia. Zróżnicowanie to uzasadnione</w:t>
            </w:r>
            <w:r w:rsidR="002F505B">
              <w:rPr>
                <w:rFonts w:ascii="Times New Roman" w:eastAsia="MS Mincho" w:hAnsi="Times New Roman"/>
                <w:sz w:val="20"/>
                <w:szCs w:val="20"/>
              </w:rPr>
              <w:t xml:space="preserve"> jest odmiennymi sposobami komunikowania się spółki z akcjonariuszami </w:t>
            </w:r>
            <w:r w:rsidR="00E01832">
              <w:rPr>
                <w:rFonts w:ascii="Times New Roman" w:eastAsia="MS Mincho" w:hAnsi="Times New Roman"/>
                <w:sz w:val="20"/>
                <w:szCs w:val="20"/>
              </w:rPr>
              <w:t>przewidzianymi</w:t>
            </w:r>
            <w:r w:rsidR="002F505B">
              <w:rPr>
                <w:rFonts w:ascii="Times New Roman" w:eastAsia="MS Mincho" w:hAnsi="Times New Roman"/>
                <w:sz w:val="20"/>
                <w:szCs w:val="20"/>
              </w:rPr>
              <w:t xml:space="preserve"> w poszczególnych paragrafach (</w:t>
            </w:r>
            <w:r w:rsidR="002F505B" w:rsidRPr="002F505B">
              <w:rPr>
                <w:rFonts w:ascii="Times New Roman" w:eastAsia="MS Mincho" w:hAnsi="Times New Roman"/>
                <w:sz w:val="20"/>
                <w:szCs w:val="20"/>
              </w:rPr>
              <w:t>§</w:t>
            </w:r>
            <w:r w:rsidR="002F505B">
              <w:rPr>
                <w:rFonts w:ascii="Times New Roman" w:eastAsia="MS Mincho" w:hAnsi="Times New Roman"/>
                <w:sz w:val="20"/>
                <w:szCs w:val="20"/>
              </w:rPr>
              <w:t xml:space="preserve"> 1: ogłoszenie</w:t>
            </w:r>
            <w:r w:rsidR="00E01832">
              <w:rPr>
                <w:rFonts w:ascii="Times New Roman" w:eastAsia="MS Mincho" w:hAnsi="Times New Roman"/>
                <w:sz w:val="20"/>
                <w:szCs w:val="20"/>
              </w:rPr>
              <w:t xml:space="preserve">; </w:t>
            </w:r>
            <w:r w:rsidR="00E01832" w:rsidRPr="00E01832">
              <w:rPr>
                <w:rFonts w:ascii="Times New Roman" w:eastAsia="MS Mincho" w:hAnsi="Times New Roman"/>
                <w:sz w:val="20"/>
                <w:szCs w:val="20"/>
              </w:rPr>
              <w:t>§</w:t>
            </w:r>
            <w:r w:rsidR="00E01832">
              <w:rPr>
                <w:rFonts w:ascii="Times New Roman" w:eastAsia="MS Mincho" w:hAnsi="Times New Roman"/>
                <w:sz w:val="20"/>
                <w:szCs w:val="20"/>
              </w:rPr>
              <w:t xml:space="preserve"> 3: list polecony</w:t>
            </w:r>
            <w:r w:rsidR="00096A35">
              <w:rPr>
                <w:rFonts w:ascii="Times New Roman" w:eastAsia="MS Mincho" w:hAnsi="Times New Roman"/>
                <w:sz w:val="20"/>
                <w:szCs w:val="20"/>
              </w:rPr>
              <w:t>,</w:t>
            </w:r>
            <w:r w:rsidR="00E01832">
              <w:rPr>
                <w:rFonts w:ascii="Times New Roman" w:eastAsia="MS Mincho" w:hAnsi="Times New Roman"/>
                <w:sz w:val="20"/>
                <w:szCs w:val="20"/>
              </w:rPr>
              <w:t xml:space="preserve"> przesyłka kurierska</w:t>
            </w:r>
            <w:r w:rsidR="00096A35">
              <w:rPr>
                <w:rFonts w:ascii="Times New Roman" w:eastAsia="MS Mincho" w:hAnsi="Times New Roman"/>
                <w:sz w:val="20"/>
                <w:szCs w:val="20"/>
              </w:rPr>
              <w:t xml:space="preserve"> albo poczta elektroniczna</w:t>
            </w:r>
            <w:r w:rsidR="00BD0B99">
              <w:rPr>
                <w:rFonts w:ascii="Times New Roman" w:eastAsia="MS Mincho" w:hAnsi="Times New Roman"/>
                <w:sz w:val="20"/>
                <w:szCs w:val="20"/>
              </w:rPr>
              <w:t>, a wię</w:t>
            </w:r>
            <w:r w:rsidR="00096A35">
              <w:rPr>
                <w:rFonts w:ascii="Times New Roman" w:eastAsia="MS Mincho" w:hAnsi="Times New Roman"/>
                <w:sz w:val="20"/>
                <w:szCs w:val="20"/>
              </w:rPr>
              <w:t>c środki kierowane bezpośrednio do adresata).</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32.</w:t>
            </w:r>
          </w:p>
        </w:tc>
        <w:tc>
          <w:tcPr>
            <w:tcW w:w="2127" w:type="dxa"/>
          </w:tcPr>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24</w:t>
            </w:r>
          </w:p>
          <w:p w:rsidR="00FF491E" w:rsidRPr="00ED613F" w:rsidRDefault="00A24800" w:rsidP="00ED613F">
            <w:pPr>
              <w:jc w:val="center"/>
              <w:rPr>
                <w:rFonts w:ascii="Times New Roman" w:eastAsia="MS Mincho" w:hAnsi="Times New Roman"/>
                <w:sz w:val="20"/>
                <w:szCs w:val="20"/>
                <w:lang w:val="de-DE"/>
              </w:rPr>
            </w:pPr>
            <w:r>
              <w:rPr>
                <w:rFonts w:ascii="Times New Roman" w:eastAsia="MS Mincho" w:hAnsi="Times New Roman"/>
                <w:b/>
                <w:sz w:val="20"/>
                <w:szCs w:val="20"/>
                <w:lang w:val="de-DE"/>
              </w:rPr>
              <w:t>(</w:t>
            </w:r>
            <w:proofErr w:type="spellStart"/>
            <w:r>
              <w:rPr>
                <w:rFonts w:ascii="Times New Roman" w:eastAsia="MS Mincho" w:hAnsi="Times New Roman"/>
                <w:b/>
                <w:sz w:val="20"/>
                <w:szCs w:val="20"/>
                <w:lang w:val="de-DE"/>
              </w:rPr>
              <w:t>dot</w:t>
            </w:r>
            <w:proofErr w:type="spellEnd"/>
            <w:r>
              <w:rPr>
                <w:rFonts w:ascii="Times New Roman" w:eastAsia="MS Mincho" w:hAnsi="Times New Roman"/>
                <w:b/>
                <w:sz w:val="20"/>
                <w:szCs w:val="20"/>
                <w:lang w:val="de-DE"/>
              </w:rPr>
              <w:t>. art. 406</w:t>
            </w:r>
            <w:r w:rsidR="00FF491E" w:rsidRPr="00ED613F">
              <w:rPr>
                <w:rFonts w:ascii="Times New Roman" w:eastAsia="MS Mincho" w:hAnsi="Times New Roman"/>
                <w:b/>
                <w:sz w:val="20"/>
                <w:szCs w:val="20"/>
                <w:vertAlign w:val="superscript"/>
                <w:lang w:val="de-DE"/>
              </w:rPr>
              <w:t>3</w:t>
            </w:r>
            <w:r w:rsidR="00FF491E" w:rsidRPr="00ED613F">
              <w:rPr>
                <w:rFonts w:ascii="Times New Roman" w:eastAsia="MS Mincho" w:hAnsi="Times New Roman"/>
                <w:b/>
                <w:sz w:val="20"/>
                <w:szCs w:val="20"/>
                <w:lang w:val="de-DE"/>
              </w:rPr>
              <w:t xml:space="preserve"> </w:t>
            </w:r>
            <w:proofErr w:type="spellStart"/>
            <w:r w:rsidR="00FF491E" w:rsidRPr="00ED613F">
              <w:rPr>
                <w:rFonts w:ascii="Times New Roman" w:eastAsia="MS Mincho" w:hAnsi="Times New Roman"/>
                <w:b/>
                <w:sz w:val="20"/>
                <w:szCs w:val="20"/>
                <w:lang w:val="de-DE"/>
              </w:rPr>
              <w:t>K.s.h</w:t>
            </w:r>
            <w:proofErr w:type="spellEnd"/>
            <w:r w:rsidR="00FF491E" w:rsidRPr="00ED613F">
              <w:rPr>
                <w:rFonts w:ascii="Times New Roman" w:eastAsia="MS Mincho" w:hAnsi="Times New Roman"/>
                <w:b/>
                <w:sz w:val="20"/>
                <w:szCs w:val="20"/>
                <w:lang w:val="de-DE"/>
              </w:rPr>
              <w:t>.)</w:t>
            </w:r>
          </w:p>
        </w:tc>
        <w:tc>
          <w:tcPr>
            <w:tcW w:w="1291" w:type="dxa"/>
          </w:tcPr>
          <w:p w:rsidR="00FF491E" w:rsidRPr="00ED613F" w:rsidRDefault="00FF491E" w:rsidP="00ED613F">
            <w:pPr>
              <w:jc w:val="center"/>
              <w:rPr>
                <w:rFonts w:ascii="Times New Roman" w:eastAsia="MS Mincho" w:hAnsi="Times New Roman"/>
                <w:b/>
                <w:sz w:val="20"/>
                <w:szCs w:val="20"/>
              </w:rPr>
            </w:pPr>
            <w:proofErr w:type="spellStart"/>
            <w:r w:rsidRPr="00ED613F">
              <w:rPr>
                <w:rFonts w:ascii="Times New Roman" w:eastAsia="MS Mincho" w:hAnsi="Times New Roman"/>
                <w:b/>
                <w:sz w:val="20"/>
                <w:szCs w:val="20"/>
              </w:rPr>
              <w:t>MRiRW</w:t>
            </w:r>
            <w:proofErr w:type="spellEnd"/>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Zgodnie z pkt 24 projektu, w zmienianym art. 406</w:t>
            </w:r>
            <w:r w:rsidRPr="00ED613F">
              <w:rPr>
                <w:rFonts w:ascii="Times New Roman" w:eastAsia="MS Mincho" w:hAnsi="Times New Roman"/>
                <w:sz w:val="20"/>
                <w:szCs w:val="20"/>
                <w:vertAlign w:val="superscript"/>
              </w:rPr>
              <w:t>3</w:t>
            </w:r>
            <w:r w:rsidRPr="00ED613F">
              <w:rPr>
                <w:rFonts w:ascii="Times New Roman" w:eastAsia="MS Mincho" w:hAnsi="Times New Roman"/>
                <w:sz w:val="20"/>
                <w:szCs w:val="20"/>
              </w:rPr>
              <w:t xml:space="preserve">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wprowadza się „zaświadczenie o prawie uczestnictwa w walnym zgromadzeniu”. Ma ono służyć sporządzaniu wykazu osób, które były akcjonariuszami (i wystąpiły z żądaniem wystawienia zaświadczenia), przekazywany przez podmiot wystawiający zaświadczenia o prawie uczestnictwa, gdzie następnie generowane jest zbiorcze zestawienie osób, którym wystawiono przedmiotowe zaświadczenia.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W tym miejscu warto zwrócić uwagę na kwestię projektowanego art. 328</w:t>
            </w:r>
            <w:r w:rsidRPr="00ED613F">
              <w:rPr>
                <w:rFonts w:ascii="Times New Roman" w:eastAsia="MS Mincho" w:hAnsi="Times New Roman"/>
                <w:sz w:val="20"/>
                <w:szCs w:val="20"/>
                <w:vertAlign w:val="superscript"/>
              </w:rPr>
              <w:t>3</w:t>
            </w:r>
            <w:r w:rsidRPr="00ED613F">
              <w:rPr>
                <w:rFonts w:ascii="Times New Roman" w:eastAsia="MS Mincho" w:hAnsi="Times New Roman"/>
                <w:sz w:val="20"/>
                <w:szCs w:val="20"/>
              </w:rPr>
              <w:t xml:space="preserve"> § 1, który rozróżnia wpis w rejestrze akcjonariuszy dotyczący przejścia akcji lub praw zastawniczych na inną osobę lub o ustanowieniu na akcji ograniczonego prawa rzeczowego, oraz wpis o przysługującym zastawnikowi lub użytkownikowi prawa wykonywania prawa głosu. Rekomenduje się wprowadzić do art. 406</w:t>
            </w:r>
            <w:r w:rsidRPr="00ED613F">
              <w:rPr>
                <w:rFonts w:ascii="Times New Roman" w:eastAsia="MS Mincho" w:hAnsi="Times New Roman"/>
                <w:sz w:val="20"/>
                <w:szCs w:val="20"/>
                <w:vertAlign w:val="superscript"/>
              </w:rPr>
              <w:t>3</w:t>
            </w:r>
            <w:r w:rsidRPr="00ED613F">
              <w:rPr>
                <w:rFonts w:ascii="Times New Roman" w:eastAsia="MS Mincho" w:hAnsi="Times New Roman"/>
                <w:sz w:val="20"/>
                <w:szCs w:val="20"/>
              </w:rPr>
              <w:t xml:space="preserve"> § 1 rozróżnienia wpisu, analogicznie do regulacji zawartej w art. 328</w:t>
            </w:r>
            <w:r w:rsidRPr="00ED613F">
              <w:rPr>
                <w:rFonts w:ascii="Times New Roman" w:eastAsia="MS Mincho" w:hAnsi="Times New Roman"/>
                <w:sz w:val="20"/>
                <w:szCs w:val="20"/>
                <w:vertAlign w:val="superscript"/>
              </w:rPr>
              <w:t>3</w:t>
            </w:r>
            <w:r w:rsidRPr="00ED613F">
              <w:rPr>
                <w:rFonts w:ascii="Times New Roman" w:eastAsia="MS Mincho" w:hAnsi="Times New Roman"/>
                <w:sz w:val="20"/>
                <w:szCs w:val="20"/>
              </w:rPr>
              <w:t xml:space="preserve"> § 1 pkt 6 i 7.</w:t>
            </w:r>
          </w:p>
        </w:tc>
        <w:tc>
          <w:tcPr>
            <w:tcW w:w="5436" w:type="dxa"/>
          </w:tcPr>
          <w:p w:rsidR="00FF491E" w:rsidRPr="00580542" w:rsidRDefault="007653B6" w:rsidP="00966C54">
            <w:pPr>
              <w:jc w:val="both"/>
              <w:rPr>
                <w:rFonts w:ascii="Times New Roman" w:eastAsia="MS Mincho" w:hAnsi="Times New Roman"/>
                <w:sz w:val="20"/>
                <w:szCs w:val="20"/>
              </w:rPr>
            </w:pPr>
            <w:r>
              <w:rPr>
                <w:rFonts w:ascii="Times New Roman" w:eastAsia="MS Mincho" w:hAnsi="Times New Roman"/>
                <w:sz w:val="20"/>
                <w:szCs w:val="20"/>
              </w:rPr>
              <w:t xml:space="preserve">Wyjaśniono, że w przypadku imiennego zaświadczenia o prawie uczestnictwa w walnym </w:t>
            </w:r>
            <w:r w:rsidR="0082559B">
              <w:rPr>
                <w:rFonts w:ascii="Times New Roman" w:eastAsia="MS Mincho" w:hAnsi="Times New Roman"/>
                <w:sz w:val="20"/>
                <w:szCs w:val="20"/>
              </w:rPr>
              <w:t xml:space="preserve">zgromadzeniu </w:t>
            </w:r>
            <w:r>
              <w:rPr>
                <w:rFonts w:ascii="Times New Roman" w:eastAsia="MS Mincho" w:hAnsi="Times New Roman"/>
                <w:sz w:val="20"/>
                <w:szCs w:val="20"/>
              </w:rPr>
              <w:t>nie ma potrzeby</w:t>
            </w:r>
            <w:r w:rsidR="00B33708">
              <w:rPr>
                <w:rFonts w:ascii="Times New Roman" w:eastAsia="MS Mincho" w:hAnsi="Times New Roman"/>
                <w:sz w:val="20"/>
                <w:szCs w:val="20"/>
              </w:rPr>
              <w:t xml:space="preserve"> odrębnego ujmowania w przepisie uprawnionego z akcji (akcjonariusza) z jednej strony oraz zastawnika / użytkowania z drugiej strony. Inaczej bowiem niż w rejestrze akcjonariuszy</w:t>
            </w:r>
            <w:r w:rsidR="00111BBF">
              <w:rPr>
                <w:rFonts w:ascii="Times New Roman" w:eastAsia="MS Mincho" w:hAnsi="Times New Roman"/>
                <w:sz w:val="20"/>
                <w:szCs w:val="20"/>
              </w:rPr>
              <w:t xml:space="preserve">, w którym </w:t>
            </w:r>
            <w:r w:rsidR="007E62A8">
              <w:rPr>
                <w:rFonts w:ascii="Times New Roman" w:eastAsia="MS Mincho" w:hAnsi="Times New Roman"/>
                <w:sz w:val="20"/>
                <w:szCs w:val="20"/>
              </w:rPr>
              <w:t xml:space="preserve">równocześnie </w:t>
            </w:r>
            <w:r w:rsidR="00111BBF">
              <w:rPr>
                <w:rFonts w:ascii="Times New Roman" w:eastAsia="MS Mincho" w:hAnsi="Times New Roman"/>
                <w:sz w:val="20"/>
                <w:szCs w:val="20"/>
              </w:rPr>
              <w:t xml:space="preserve">ujawnia się zarówno akcjonariuszy, zastawników, jak i użytkowników akcji, w zaświadczeniu wskazuje się tylko tę osobę, której przysługuje prawo uczestnictwa w </w:t>
            </w:r>
            <w:r w:rsidR="007E62A8">
              <w:rPr>
                <w:rFonts w:ascii="Times New Roman" w:eastAsia="MS Mincho" w:hAnsi="Times New Roman"/>
                <w:sz w:val="20"/>
                <w:szCs w:val="20"/>
              </w:rPr>
              <w:t xml:space="preserve">walnym zgromadzeniu. W zależności od okoliczności może to być uprawniony z akcji </w:t>
            </w:r>
            <w:r w:rsidR="00DA1C8A">
              <w:rPr>
                <w:rFonts w:ascii="Times New Roman" w:eastAsia="MS Mincho" w:hAnsi="Times New Roman"/>
                <w:sz w:val="20"/>
                <w:szCs w:val="20"/>
              </w:rPr>
              <w:t>(</w:t>
            </w:r>
            <w:r w:rsidR="008D4DD4">
              <w:rPr>
                <w:rFonts w:ascii="Times New Roman" w:eastAsia="MS Mincho" w:hAnsi="Times New Roman"/>
                <w:sz w:val="20"/>
                <w:szCs w:val="20"/>
              </w:rPr>
              <w:t>akcjonariusz</w:t>
            </w:r>
            <w:r w:rsidR="00DA1C8A">
              <w:rPr>
                <w:rFonts w:ascii="Times New Roman" w:eastAsia="MS Mincho" w:hAnsi="Times New Roman"/>
                <w:sz w:val="20"/>
                <w:szCs w:val="20"/>
              </w:rPr>
              <w:t>)</w:t>
            </w:r>
            <w:r w:rsidR="007E62A8">
              <w:rPr>
                <w:rFonts w:ascii="Times New Roman" w:eastAsia="MS Mincho" w:hAnsi="Times New Roman"/>
                <w:sz w:val="20"/>
                <w:szCs w:val="20"/>
              </w:rPr>
              <w:t xml:space="preserve"> albo</w:t>
            </w:r>
            <w:r w:rsidR="008D4DD4">
              <w:rPr>
                <w:rFonts w:ascii="Times New Roman" w:eastAsia="MS Mincho" w:hAnsi="Times New Roman"/>
                <w:sz w:val="20"/>
                <w:szCs w:val="20"/>
              </w:rPr>
              <w:t xml:space="preserve"> zastawnik albo użytkownik, je</w:t>
            </w:r>
            <w:r w:rsidR="00966C54">
              <w:rPr>
                <w:rFonts w:ascii="Times New Roman" w:eastAsia="MS Mincho" w:hAnsi="Times New Roman"/>
                <w:sz w:val="20"/>
                <w:szCs w:val="20"/>
              </w:rPr>
              <w:t>żeli</w:t>
            </w:r>
            <w:r w:rsidR="008D4DD4">
              <w:rPr>
                <w:rFonts w:ascii="Times New Roman" w:eastAsia="MS Mincho" w:hAnsi="Times New Roman"/>
                <w:sz w:val="20"/>
                <w:szCs w:val="20"/>
              </w:rPr>
              <w:t xml:space="preserve"> umowa o </w:t>
            </w:r>
            <w:r w:rsidR="00966C54">
              <w:rPr>
                <w:rFonts w:ascii="Times New Roman" w:eastAsia="MS Mincho" w:hAnsi="Times New Roman"/>
                <w:sz w:val="20"/>
                <w:szCs w:val="20"/>
              </w:rPr>
              <w:t>ustanowieniu</w:t>
            </w:r>
            <w:r w:rsidR="008D4DD4">
              <w:rPr>
                <w:rFonts w:ascii="Times New Roman" w:eastAsia="MS Mincho" w:hAnsi="Times New Roman"/>
                <w:sz w:val="20"/>
                <w:szCs w:val="20"/>
              </w:rPr>
              <w:t xml:space="preserve"> zastawu lub </w:t>
            </w:r>
            <w:r w:rsidR="00966C54">
              <w:rPr>
                <w:rFonts w:ascii="Times New Roman" w:eastAsia="MS Mincho" w:hAnsi="Times New Roman"/>
                <w:sz w:val="20"/>
                <w:szCs w:val="20"/>
              </w:rPr>
              <w:t>użytkowania</w:t>
            </w:r>
            <w:r w:rsidR="008D4DD4">
              <w:rPr>
                <w:rFonts w:ascii="Times New Roman" w:eastAsia="MS Mincho" w:hAnsi="Times New Roman"/>
                <w:sz w:val="20"/>
                <w:szCs w:val="20"/>
              </w:rPr>
              <w:t xml:space="preserve"> </w:t>
            </w:r>
            <w:r w:rsidR="00966C54">
              <w:rPr>
                <w:rFonts w:ascii="Times New Roman" w:eastAsia="MS Mincho" w:hAnsi="Times New Roman"/>
                <w:sz w:val="20"/>
                <w:szCs w:val="20"/>
              </w:rPr>
              <w:t>zawiera również upoważnienie do wykonywania prawa głosu.</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33.</w:t>
            </w:r>
          </w:p>
        </w:tc>
        <w:tc>
          <w:tcPr>
            <w:tcW w:w="2127" w:type="dxa"/>
          </w:tcPr>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31</w:t>
            </w:r>
          </w:p>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451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tc>
        <w:tc>
          <w:tcPr>
            <w:tcW w:w="1291" w:type="dxa"/>
          </w:tcPr>
          <w:p w:rsidR="00FF491E" w:rsidRPr="00ED613F" w:rsidRDefault="00FF491E" w:rsidP="00ED613F">
            <w:pPr>
              <w:spacing w:line="276" w:lineRule="auto"/>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MF</w:t>
            </w:r>
          </w:p>
        </w:tc>
        <w:tc>
          <w:tcPr>
            <w:tcW w:w="6041" w:type="dxa"/>
          </w:tcPr>
          <w:p w:rsidR="00FF491E" w:rsidRPr="00ED613F" w:rsidRDefault="00FF491E" w:rsidP="00CB6CD5">
            <w:pPr>
              <w:shd w:val="clear" w:color="auto" w:fill="FFFFFF" w:themeFill="background1"/>
              <w:jc w:val="both"/>
              <w:rPr>
                <w:rFonts w:ascii="Times New Roman" w:eastAsia="MS Mincho" w:hAnsi="Times New Roman"/>
                <w:sz w:val="20"/>
                <w:szCs w:val="20"/>
              </w:rPr>
            </w:pPr>
            <w:r w:rsidRPr="00ED613F">
              <w:rPr>
                <w:rFonts w:ascii="Times New Roman" w:eastAsia="MS Mincho" w:hAnsi="Times New Roman"/>
                <w:sz w:val="20"/>
                <w:szCs w:val="20"/>
              </w:rPr>
              <w:t>Wskazane byłoby, aby kwestia momentu nabycia praw do akcji uregulowana została jednolicie. Pod tym kątem wątpliwości budzą regulacje związane z obejmowaniem akcji w związku z warunkowym podwyższeniem kapitału zakładowego.</w:t>
            </w:r>
          </w:p>
          <w:p w:rsidR="00FF491E" w:rsidRPr="00ED613F" w:rsidRDefault="00FF491E" w:rsidP="00CB6CD5">
            <w:pPr>
              <w:shd w:val="clear" w:color="auto" w:fill="FFFFFF" w:themeFill="background1"/>
              <w:jc w:val="both"/>
              <w:rPr>
                <w:rFonts w:ascii="Times New Roman" w:eastAsia="MS Mincho" w:hAnsi="Times New Roman"/>
                <w:sz w:val="20"/>
                <w:szCs w:val="20"/>
              </w:rPr>
            </w:pPr>
            <w:r w:rsidRPr="00CB6CD5">
              <w:rPr>
                <w:rFonts w:ascii="Times New Roman" w:eastAsia="MS Mincho" w:hAnsi="Times New Roman"/>
                <w:sz w:val="20"/>
                <w:szCs w:val="20"/>
              </w:rPr>
              <w:t xml:space="preserve">W obecnym stanie prawnym, wynikającym z art. 451 § 2 </w:t>
            </w:r>
            <w:proofErr w:type="spellStart"/>
            <w:r w:rsidRPr="00CB6CD5">
              <w:rPr>
                <w:rFonts w:ascii="Times New Roman" w:eastAsia="MS Mincho" w:hAnsi="Times New Roman"/>
                <w:sz w:val="20"/>
                <w:szCs w:val="20"/>
              </w:rPr>
              <w:t>K.s.h</w:t>
            </w:r>
            <w:proofErr w:type="spellEnd"/>
            <w:r w:rsidRPr="00CB6CD5">
              <w:rPr>
                <w:rFonts w:ascii="Times New Roman" w:eastAsia="MS Mincho" w:hAnsi="Times New Roman"/>
                <w:sz w:val="20"/>
                <w:szCs w:val="20"/>
              </w:rPr>
              <w:t xml:space="preserve">., w przypadku zdematerializowanych akcji spółki publicznej za wydanie dokumentów akcji, o którym mowa w art. 452 § 1 </w:t>
            </w:r>
            <w:proofErr w:type="spellStart"/>
            <w:r w:rsidRPr="00CB6CD5">
              <w:rPr>
                <w:rFonts w:ascii="Times New Roman" w:eastAsia="MS Mincho" w:hAnsi="Times New Roman"/>
                <w:sz w:val="20"/>
                <w:szCs w:val="20"/>
              </w:rPr>
              <w:t>K.s.h</w:t>
            </w:r>
            <w:proofErr w:type="spellEnd"/>
            <w:r w:rsidRPr="00CB6CD5">
              <w:rPr>
                <w:rFonts w:ascii="Times New Roman" w:eastAsia="MS Mincho" w:hAnsi="Times New Roman"/>
                <w:sz w:val="20"/>
                <w:szCs w:val="20"/>
              </w:rPr>
              <w:t>., uważa się zapisanie ich na rachunku papierów wartościowych lub rachunku zbiorczym, zgodnie z przepisami o obrocie instrumentami finansowymi.</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Zgodnie z nowelizowaną treścią art. 452 § 1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nabycie praw z akcji przyznanych w tym trybie następowałoby wraz z przyznaniem akcji </w:t>
            </w:r>
            <w:r w:rsidRPr="00ED613F">
              <w:rPr>
                <w:rFonts w:ascii="Times New Roman" w:eastAsia="MS Mincho" w:hAnsi="Times New Roman"/>
                <w:sz w:val="20"/>
                <w:szCs w:val="20"/>
              </w:rPr>
              <w:lastRenderedPageBreak/>
              <w:t xml:space="preserve">zgodnie z art. 451 § 2 i § 3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tj. po przyznaniu przez zarząd akcji, zgodnie z uchwałą, o której mowa w art. 449 § 1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oraz po wniesieniu przez akcjonariuszy wkładów. Nowa treść art. 451 § 2 nie doprecyzowuje już usuniętego z art. 452 § 1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xml:space="preserve"> pojęcia „wydanie dokumentów akcji", ale też nie doprecyzowuje nowego terminu „przyznanie akcji", który pojawił się w tym i innych nowelizowanych przepisach. Powstaje zatem wątpliwość, czy w przypadku warunkowego podwyższenia kapitału objęcie akcji następuje </w:t>
            </w:r>
            <w:r w:rsidRPr="00ED613F">
              <w:rPr>
                <w:rFonts w:ascii="Times New Roman" w:eastAsia="MS Mincho" w:hAnsi="Times New Roman"/>
                <w:sz w:val="20"/>
                <w:szCs w:val="20"/>
              </w:rPr>
              <w:br/>
              <w:t>z chwilą ich przyznania, czy z chwilą wpisu w rejestrze akcjonariuszy albo zapisania na rachunku papierów wartościowych lub rachunku zbiorczym - w przypadku zdematerializowanych akcji spółki publicznej.</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Wątpliwość budzi pozostawienie w niezmienionym brzmieniu § 3 i § 4 w art. 451 </w:t>
            </w:r>
            <w:proofErr w:type="spellStart"/>
            <w:r w:rsidRPr="00ED613F">
              <w:rPr>
                <w:rFonts w:ascii="Times New Roman" w:eastAsia="MS Mincho" w:hAnsi="Times New Roman"/>
                <w:sz w:val="20"/>
                <w:szCs w:val="20"/>
              </w:rPr>
              <w:t>K.s.h</w:t>
            </w:r>
            <w:proofErr w:type="spellEnd"/>
            <w:r w:rsidRPr="00ED613F">
              <w:rPr>
                <w:rFonts w:ascii="Times New Roman" w:eastAsia="MS Mincho" w:hAnsi="Times New Roman"/>
                <w:sz w:val="20"/>
                <w:szCs w:val="20"/>
              </w:rPr>
              <w:t>. Wydaje się, iż dematerializacja akcji powinna wyeliminować dokumenty akcji, o których mowa w tych przepisach.</w:t>
            </w:r>
          </w:p>
          <w:p w:rsidR="00FF491E" w:rsidRDefault="00FF491E" w:rsidP="00ED613F">
            <w:pPr>
              <w:jc w:val="both"/>
              <w:rPr>
                <w:rFonts w:ascii="Times New Roman" w:eastAsia="MS Mincho" w:hAnsi="Times New Roman"/>
                <w:sz w:val="20"/>
                <w:szCs w:val="20"/>
              </w:rPr>
            </w:pPr>
          </w:p>
          <w:p w:rsidR="005F7F86" w:rsidRPr="00ED613F" w:rsidRDefault="005F7F86"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Określenie „wydanie dokumentów akcji" - w kontekście objęcia akcji związanego z warunkowym podwyższeniem kapitału zakładowego - występuje obecnie w art. 17 w ust. 1a pkt 3 ustawy o podatku dochodowym od osób fizycznych oraz w art. 12 w ust. 1b pkt 3 ustawy o podatku dochodowym od osób prawnych. Wydaje się, że przepisy te powinny zostać odpowiednio zmienione.</w:t>
            </w:r>
          </w:p>
          <w:p w:rsidR="00FF491E" w:rsidRPr="00ED613F" w:rsidRDefault="00FF491E" w:rsidP="00ED613F">
            <w:pPr>
              <w:jc w:val="both"/>
              <w:rPr>
                <w:rFonts w:ascii="Times New Roman" w:eastAsia="MS Mincho" w:hAnsi="Times New Roman"/>
                <w:sz w:val="20"/>
                <w:szCs w:val="20"/>
              </w:rPr>
            </w:pP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Zgodnie z art. 20 ust. 1 i 2 ustawy </w:t>
            </w:r>
            <w:r w:rsidRPr="00ED613F">
              <w:rPr>
                <w:rFonts w:ascii="Times New Roman" w:eastAsia="MS Mincho" w:hAnsi="Times New Roman"/>
                <w:iCs/>
                <w:sz w:val="20"/>
                <w:szCs w:val="20"/>
              </w:rPr>
              <w:t>o rachunkowości</w:t>
            </w:r>
            <w:r w:rsidRPr="00ED613F">
              <w:rPr>
                <w:rFonts w:ascii="Times New Roman" w:eastAsia="MS Mincho" w:hAnsi="Times New Roman"/>
                <w:i/>
                <w:iCs/>
                <w:sz w:val="20"/>
                <w:szCs w:val="20"/>
              </w:rPr>
              <w:t xml:space="preserve"> </w:t>
            </w:r>
            <w:r w:rsidRPr="00ED613F">
              <w:rPr>
                <w:rFonts w:ascii="Times New Roman" w:eastAsia="MS Mincho" w:hAnsi="Times New Roman"/>
                <w:sz w:val="20"/>
                <w:szCs w:val="20"/>
              </w:rPr>
              <w:t>do ksiąg rachunkowych okresu sprawozdawczego należy wprowadzić, w postaci zapisu, każde zdarzenie, które nastąpiło w tym okresie sprawozdawczym. Podstawą zapisów w księgach rachunkowych są dowody księgowe stwierdzające dokonanie operacji gospodarczej. Dlatego wątpliwości budzi - w świetle ww. projektu - moment ujęcia w księgach rachunkowych i sposób udokumentowania wskazanych zmian w zakresie nabycia akcji.</w:t>
            </w:r>
          </w:p>
        </w:tc>
        <w:tc>
          <w:tcPr>
            <w:tcW w:w="5436" w:type="dxa"/>
          </w:tcPr>
          <w:p w:rsidR="00C2791D" w:rsidRPr="006F6473" w:rsidRDefault="006146C6" w:rsidP="00207EE8">
            <w:pPr>
              <w:jc w:val="both"/>
              <w:rPr>
                <w:rFonts w:ascii="Times New Roman" w:eastAsia="MS Mincho" w:hAnsi="Times New Roman"/>
                <w:sz w:val="20"/>
                <w:szCs w:val="20"/>
              </w:rPr>
            </w:pPr>
            <w:r w:rsidRPr="004D08F5">
              <w:rPr>
                <w:rFonts w:ascii="Times New Roman" w:eastAsia="MS Mincho" w:hAnsi="Times New Roman"/>
                <w:sz w:val="20"/>
                <w:szCs w:val="20"/>
              </w:rPr>
              <w:lastRenderedPageBreak/>
              <w:t xml:space="preserve">Wyjaśniono, że w przypadku warunkowego podwyższenia kapitału nabycie akcji (przyznanie praw do akcji) następuje z chwilą </w:t>
            </w:r>
            <w:r w:rsidR="0079289B" w:rsidRPr="004D08F5">
              <w:rPr>
                <w:rFonts w:ascii="Times New Roman" w:eastAsia="MS Mincho" w:hAnsi="Times New Roman"/>
                <w:sz w:val="20"/>
                <w:szCs w:val="20"/>
              </w:rPr>
              <w:t xml:space="preserve">przyznania akcji, tj. </w:t>
            </w:r>
            <w:r w:rsidR="00697847" w:rsidRPr="004D08F5">
              <w:rPr>
                <w:rFonts w:ascii="Times New Roman" w:eastAsia="MS Mincho" w:hAnsi="Times New Roman"/>
                <w:sz w:val="20"/>
                <w:szCs w:val="20"/>
              </w:rPr>
              <w:t>dokonania stosownego wpisu w rejestrze akcjonariuszy, a w przypadku spółki publicznej lub spółki niepublicznej, która wybrała reżim KDPW – z chwilą</w:t>
            </w:r>
            <w:r w:rsidR="00207EE8" w:rsidRPr="004D08F5">
              <w:rPr>
                <w:rFonts w:ascii="Times New Roman" w:eastAsia="MS Mincho" w:hAnsi="Times New Roman"/>
                <w:sz w:val="20"/>
                <w:szCs w:val="20"/>
              </w:rPr>
              <w:t xml:space="preserve"> zapisania </w:t>
            </w:r>
            <w:r w:rsidR="00207EE8" w:rsidRPr="006F6473">
              <w:rPr>
                <w:rFonts w:ascii="Times New Roman" w:eastAsia="MS Mincho" w:hAnsi="Times New Roman"/>
                <w:sz w:val="20"/>
                <w:szCs w:val="20"/>
              </w:rPr>
              <w:t>akcji na rachunku papierów wartościowych (lub rachunku zbiorczym).</w:t>
            </w:r>
          </w:p>
          <w:p w:rsidR="00401E8B" w:rsidRPr="006F6473" w:rsidRDefault="00401E8B" w:rsidP="00207EE8">
            <w:pPr>
              <w:jc w:val="both"/>
              <w:rPr>
                <w:rFonts w:ascii="Times New Roman" w:eastAsia="MS Mincho" w:hAnsi="Times New Roman"/>
                <w:sz w:val="20"/>
                <w:szCs w:val="20"/>
              </w:rPr>
            </w:pPr>
            <w:r w:rsidRPr="006F6473">
              <w:rPr>
                <w:rFonts w:ascii="Times New Roman" w:eastAsia="MS Mincho" w:hAnsi="Times New Roman"/>
                <w:sz w:val="20"/>
                <w:szCs w:val="20"/>
              </w:rPr>
              <w:t xml:space="preserve">Jednoczenie ustalono, że art. 451 § 2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zostanie odpowiednio doprecyzowany.</w:t>
            </w:r>
            <w:r w:rsidR="00AD43A9" w:rsidRPr="006F6473">
              <w:rPr>
                <w:rFonts w:ascii="Times New Roman" w:eastAsia="MS Mincho" w:hAnsi="Times New Roman"/>
                <w:sz w:val="20"/>
                <w:szCs w:val="20"/>
              </w:rPr>
              <w:t xml:space="preserve"> </w:t>
            </w:r>
          </w:p>
          <w:p w:rsidR="00C2791D" w:rsidRPr="006F6473" w:rsidRDefault="00C2791D" w:rsidP="00ED613F">
            <w:pPr>
              <w:rPr>
                <w:rFonts w:ascii="Times New Roman" w:eastAsia="MS Mincho" w:hAnsi="Times New Roman"/>
                <w:b/>
                <w:sz w:val="20"/>
                <w:szCs w:val="20"/>
              </w:rPr>
            </w:pPr>
          </w:p>
          <w:p w:rsidR="00C2791D" w:rsidRPr="006F6473" w:rsidRDefault="00C2791D" w:rsidP="00ED613F">
            <w:pPr>
              <w:rPr>
                <w:rFonts w:ascii="Times New Roman" w:eastAsia="MS Mincho" w:hAnsi="Times New Roman"/>
                <w:b/>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AD43A9" w:rsidRPr="006F6473" w:rsidRDefault="00AD43A9" w:rsidP="00ED613F">
            <w:pPr>
              <w:rPr>
                <w:rFonts w:ascii="Times New Roman" w:eastAsia="MS Mincho" w:hAnsi="Times New Roman"/>
                <w:sz w:val="20"/>
                <w:szCs w:val="20"/>
              </w:rPr>
            </w:pPr>
          </w:p>
          <w:p w:rsidR="006177C9" w:rsidRPr="006F6473" w:rsidRDefault="00AD43A9" w:rsidP="00BC4233">
            <w:pPr>
              <w:jc w:val="both"/>
              <w:rPr>
                <w:rFonts w:ascii="Times New Roman" w:eastAsia="MS Mincho" w:hAnsi="Times New Roman"/>
                <w:sz w:val="20"/>
                <w:szCs w:val="20"/>
              </w:rPr>
            </w:pPr>
            <w:r w:rsidRPr="006F6473">
              <w:rPr>
                <w:rFonts w:ascii="Times New Roman" w:eastAsia="MS Mincho" w:hAnsi="Times New Roman"/>
                <w:sz w:val="20"/>
                <w:szCs w:val="20"/>
              </w:rPr>
              <w:t xml:space="preserve">Uwaga została uwzględniona: także </w:t>
            </w:r>
            <w:r w:rsidR="006177C9" w:rsidRPr="006F6473">
              <w:rPr>
                <w:rFonts w:ascii="Times New Roman" w:eastAsia="MS Mincho" w:hAnsi="Times New Roman"/>
                <w:sz w:val="20"/>
                <w:szCs w:val="20"/>
              </w:rPr>
              <w:t xml:space="preserve"> § 3 i </w:t>
            </w:r>
            <w:r w:rsidR="00246D9C" w:rsidRPr="006F6473">
              <w:rPr>
                <w:rFonts w:ascii="Times New Roman" w:eastAsia="MS Mincho" w:hAnsi="Times New Roman"/>
                <w:sz w:val="20"/>
                <w:szCs w:val="20"/>
              </w:rPr>
              <w:t xml:space="preserve">4 </w:t>
            </w:r>
            <w:r w:rsidR="006177C9" w:rsidRPr="006F6473">
              <w:rPr>
                <w:rFonts w:ascii="Times New Roman" w:eastAsia="MS Mincho" w:hAnsi="Times New Roman"/>
                <w:sz w:val="20"/>
                <w:szCs w:val="20"/>
              </w:rPr>
              <w:t xml:space="preserve"> w art. 451 </w:t>
            </w:r>
            <w:proofErr w:type="spellStart"/>
            <w:r w:rsidR="00246D9C" w:rsidRPr="006F6473">
              <w:rPr>
                <w:rFonts w:ascii="Times New Roman" w:eastAsia="MS Mincho" w:hAnsi="Times New Roman"/>
                <w:sz w:val="20"/>
                <w:szCs w:val="20"/>
              </w:rPr>
              <w:t>k.s.h</w:t>
            </w:r>
            <w:proofErr w:type="spellEnd"/>
            <w:r w:rsidR="00246D9C" w:rsidRPr="006F6473">
              <w:rPr>
                <w:rFonts w:ascii="Times New Roman" w:eastAsia="MS Mincho" w:hAnsi="Times New Roman"/>
                <w:sz w:val="20"/>
                <w:szCs w:val="20"/>
              </w:rPr>
              <w:t xml:space="preserve">. </w:t>
            </w:r>
            <w:r w:rsidR="006177C9" w:rsidRPr="006F6473">
              <w:rPr>
                <w:rFonts w:ascii="Times New Roman" w:eastAsia="MS Mincho" w:hAnsi="Times New Roman"/>
                <w:sz w:val="20"/>
                <w:szCs w:val="20"/>
              </w:rPr>
              <w:t>zostaną zmienione – pojęcie „wydania</w:t>
            </w:r>
            <w:r w:rsidR="00BC4233" w:rsidRPr="006F6473">
              <w:rPr>
                <w:rFonts w:ascii="Times New Roman" w:eastAsia="MS Mincho" w:hAnsi="Times New Roman"/>
                <w:sz w:val="20"/>
                <w:szCs w:val="20"/>
              </w:rPr>
              <w:t>”</w:t>
            </w:r>
            <w:r w:rsidR="006177C9" w:rsidRPr="006F6473">
              <w:rPr>
                <w:rFonts w:ascii="Times New Roman" w:eastAsia="MS Mincho" w:hAnsi="Times New Roman"/>
                <w:sz w:val="20"/>
                <w:szCs w:val="20"/>
              </w:rPr>
              <w:t xml:space="preserve"> </w:t>
            </w:r>
            <w:r w:rsidR="00BC4233" w:rsidRPr="006F6473">
              <w:rPr>
                <w:rFonts w:ascii="Times New Roman" w:eastAsia="MS Mincho" w:hAnsi="Times New Roman"/>
                <w:sz w:val="20"/>
                <w:szCs w:val="20"/>
              </w:rPr>
              <w:t xml:space="preserve">dokumentów </w:t>
            </w:r>
            <w:r w:rsidR="006177C9" w:rsidRPr="006F6473">
              <w:rPr>
                <w:rFonts w:ascii="Times New Roman" w:eastAsia="MS Mincho" w:hAnsi="Times New Roman"/>
                <w:sz w:val="20"/>
                <w:szCs w:val="20"/>
              </w:rPr>
              <w:t xml:space="preserve">akcji zostanie </w:t>
            </w:r>
            <w:r w:rsidR="00BC4233" w:rsidRPr="006F6473">
              <w:rPr>
                <w:rFonts w:ascii="Times New Roman" w:eastAsia="MS Mincho" w:hAnsi="Times New Roman"/>
                <w:sz w:val="20"/>
                <w:szCs w:val="20"/>
              </w:rPr>
              <w:t>zastąpione</w:t>
            </w:r>
            <w:r w:rsidR="006177C9" w:rsidRPr="006F6473">
              <w:rPr>
                <w:rFonts w:ascii="Times New Roman" w:eastAsia="MS Mincho" w:hAnsi="Times New Roman"/>
                <w:sz w:val="20"/>
                <w:szCs w:val="20"/>
              </w:rPr>
              <w:t xml:space="preserve"> pojęciem </w:t>
            </w:r>
            <w:r w:rsidR="00BC4233" w:rsidRPr="006F6473">
              <w:rPr>
                <w:rFonts w:ascii="Times New Roman" w:eastAsia="MS Mincho" w:hAnsi="Times New Roman"/>
                <w:sz w:val="20"/>
                <w:szCs w:val="20"/>
              </w:rPr>
              <w:t>przyznania</w:t>
            </w:r>
            <w:r w:rsidR="006177C9" w:rsidRPr="006F6473">
              <w:rPr>
                <w:rFonts w:ascii="Times New Roman" w:eastAsia="MS Mincho" w:hAnsi="Times New Roman"/>
                <w:sz w:val="20"/>
                <w:szCs w:val="20"/>
              </w:rPr>
              <w:t xml:space="preserve"> akcji.</w:t>
            </w:r>
          </w:p>
          <w:p w:rsidR="00C2791D" w:rsidRPr="006F6473" w:rsidRDefault="00C2791D" w:rsidP="00ED613F">
            <w:pPr>
              <w:rPr>
                <w:rFonts w:ascii="Times New Roman" w:eastAsia="MS Mincho" w:hAnsi="Times New Roman"/>
                <w:sz w:val="20"/>
                <w:szCs w:val="20"/>
              </w:rPr>
            </w:pPr>
          </w:p>
          <w:p w:rsidR="00DF5544" w:rsidRPr="006F6473" w:rsidRDefault="00DF5544" w:rsidP="000B6286">
            <w:pPr>
              <w:jc w:val="both"/>
              <w:rPr>
                <w:rFonts w:ascii="Times New Roman" w:eastAsia="MS Mincho" w:hAnsi="Times New Roman"/>
                <w:sz w:val="20"/>
                <w:szCs w:val="20"/>
              </w:rPr>
            </w:pPr>
          </w:p>
          <w:p w:rsidR="00C2791D" w:rsidRPr="006F6473" w:rsidRDefault="000B6286" w:rsidP="000B6286">
            <w:pPr>
              <w:jc w:val="both"/>
              <w:rPr>
                <w:rFonts w:ascii="Times New Roman" w:eastAsia="MS Mincho" w:hAnsi="Times New Roman"/>
                <w:sz w:val="20"/>
                <w:szCs w:val="20"/>
              </w:rPr>
            </w:pPr>
            <w:r w:rsidRPr="006F6473">
              <w:rPr>
                <w:rFonts w:ascii="Times New Roman" w:eastAsia="MS Mincho" w:hAnsi="Times New Roman"/>
                <w:sz w:val="20"/>
                <w:szCs w:val="20"/>
              </w:rPr>
              <w:t xml:space="preserve">Uwaga została kierunkowo uznana za zasadną. </w:t>
            </w:r>
            <w:r w:rsidR="0038356C" w:rsidRPr="006F6473">
              <w:rPr>
                <w:rFonts w:ascii="Times New Roman" w:eastAsia="MS Mincho" w:hAnsi="Times New Roman"/>
                <w:sz w:val="20"/>
                <w:szCs w:val="20"/>
              </w:rPr>
              <w:t xml:space="preserve">Do projektu zostaną dodane przepisy wprowadzające </w:t>
            </w:r>
            <w:r w:rsidR="00216D5B" w:rsidRPr="006F6473">
              <w:rPr>
                <w:rFonts w:ascii="Times New Roman" w:eastAsia="MS Mincho" w:hAnsi="Times New Roman"/>
                <w:sz w:val="20"/>
                <w:szCs w:val="20"/>
              </w:rPr>
              <w:t xml:space="preserve">niezbędne </w:t>
            </w:r>
            <w:r w:rsidR="0038356C" w:rsidRPr="006F6473">
              <w:rPr>
                <w:rFonts w:ascii="Times New Roman" w:eastAsia="MS Mincho" w:hAnsi="Times New Roman"/>
                <w:sz w:val="20"/>
                <w:szCs w:val="20"/>
              </w:rPr>
              <w:t xml:space="preserve">zmiany </w:t>
            </w:r>
            <w:r w:rsidRPr="006F6473">
              <w:rPr>
                <w:rFonts w:ascii="Times New Roman" w:eastAsia="MS Mincho" w:hAnsi="Times New Roman"/>
                <w:sz w:val="20"/>
                <w:szCs w:val="20"/>
              </w:rPr>
              <w:t>w ustawach: o podatku dochodowym od osób fizycznych oraz o podatku dochodowym od osób prawnych.</w:t>
            </w:r>
          </w:p>
          <w:p w:rsidR="00C2791D" w:rsidRPr="006F6473" w:rsidRDefault="00C2791D" w:rsidP="00ED613F">
            <w:pPr>
              <w:rPr>
                <w:rFonts w:ascii="Times New Roman" w:eastAsia="MS Mincho" w:hAnsi="Times New Roman"/>
                <w:b/>
                <w:sz w:val="20"/>
                <w:szCs w:val="20"/>
              </w:rPr>
            </w:pPr>
          </w:p>
          <w:p w:rsidR="00C2791D" w:rsidRPr="00580542" w:rsidRDefault="00C2791D" w:rsidP="00ED613F">
            <w:pPr>
              <w:rPr>
                <w:rFonts w:ascii="Times New Roman" w:eastAsia="MS Mincho" w:hAnsi="Times New Roman"/>
                <w:b/>
                <w:sz w:val="20"/>
                <w:szCs w:val="20"/>
              </w:rPr>
            </w:pPr>
          </w:p>
          <w:p w:rsidR="00C2791D" w:rsidRPr="00580542" w:rsidRDefault="00C2791D" w:rsidP="00ED613F">
            <w:pPr>
              <w:rPr>
                <w:rFonts w:ascii="Times New Roman" w:eastAsia="MS Mincho" w:hAnsi="Times New Roman"/>
                <w:b/>
                <w:sz w:val="20"/>
                <w:szCs w:val="20"/>
              </w:rPr>
            </w:pPr>
          </w:p>
          <w:p w:rsidR="00C2791D" w:rsidRPr="001106A0" w:rsidRDefault="001106A0" w:rsidP="00243ED4">
            <w:pPr>
              <w:jc w:val="both"/>
              <w:rPr>
                <w:rFonts w:ascii="Times New Roman" w:eastAsia="MS Mincho" w:hAnsi="Times New Roman"/>
                <w:sz w:val="20"/>
                <w:szCs w:val="20"/>
              </w:rPr>
            </w:pPr>
            <w:r w:rsidRPr="001106A0">
              <w:rPr>
                <w:rFonts w:ascii="Times New Roman" w:eastAsia="MS Mincho" w:hAnsi="Times New Roman"/>
                <w:sz w:val="20"/>
                <w:szCs w:val="20"/>
              </w:rPr>
              <w:t>Vide wyjaśnienie i ustalenie dot. pierwszej uwagi z tego punktu tabeli.</w:t>
            </w:r>
          </w:p>
          <w:p w:rsidR="00C2791D" w:rsidRPr="00580542" w:rsidRDefault="00C2791D" w:rsidP="00ED613F">
            <w:pPr>
              <w:rPr>
                <w:rFonts w:ascii="Times New Roman" w:eastAsia="MS Mincho" w:hAnsi="Times New Roman"/>
                <w:b/>
                <w:sz w:val="20"/>
                <w:szCs w:val="20"/>
              </w:rPr>
            </w:pPr>
          </w:p>
          <w:p w:rsidR="00C2791D" w:rsidRPr="00580542" w:rsidRDefault="00C2791D" w:rsidP="00ED613F">
            <w:pPr>
              <w:rPr>
                <w:rFonts w:ascii="Times New Roman" w:eastAsia="MS Mincho" w:hAnsi="Times New Roman"/>
                <w:b/>
                <w:sz w:val="20"/>
                <w:szCs w:val="20"/>
              </w:rPr>
            </w:pPr>
          </w:p>
          <w:p w:rsidR="00C2791D" w:rsidRPr="00580542" w:rsidRDefault="00C2791D" w:rsidP="00ED613F">
            <w:pPr>
              <w:rPr>
                <w:rFonts w:ascii="Times New Roman" w:eastAsia="MS Mincho" w:hAnsi="Times New Roman"/>
                <w:sz w:val="20"/>
                <w:szCs w:val="20"/>
              </w:rPr>
            </w:pP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34.</w:t>
            </w:r>
          </w:p>
        </w:tc>
        <w:tc>
          <w:tcPr>
            <w:tcW w:w="2127" w:type="dxa"/>
          </w:tcPr>
          <w:p w:rsidR="00FF491E" w:rsidRPr="00ED613F" w:rsidRDefault="00FF491E" w:rsidP="00ED613F">
            <w:pPr>
              <w:jc w:val="center"/>
              <w:rPr>
                <w:rFonts w:ascii="Times New Roman" w:eastAsia="MS Mincho" w:hAnsi="Times New Roman"/>
                <w:b/>
                <w:sz w:val="20"/>
                <w:szCs w:val="20"/>
                <w:lang w:val="de-DE"/>
              </w:rPr>
            </w:pPr>
            <w:r w:rsidRPr="00ED613F">
              <w:rPr>
                <w:rFonts w:ascii="Times New Roman" w:eastAsia="MS Mincho" w:hAnsi="Times New Roman"/>
                <w:b/>
                <w:sz w:val="20"/>
                <w:szCs w:val="20"/>
                <w:lang w:val="de-DE"/>
              </w:rPr>
              <w:t xml:space="preserve">Art. 1 </w:t>
            </w:r>
            <w:proofErr w:type="spellStart"/>
            <w:r w:rsidRPr="00ED613F">
              <w:rPr>
                <w:rFonts w:ascii="Times New Roman" w:eastAsia="MS Mincho" w:hAnsi="Times New Roman"/>
                <w:b/>
                <w:sz w:val="20"/>
                <w:szCs w:val="20"/>
                <w:lang w:val="de-DE"/>
              </w:rPr>
              <w:t>pkt</w:t>
            </w:r>
            <w:proofErr w:type="spellEnd"/>
            <w:r w:rsidRPr="00ED613F">
              <w:rPr>
                <w:rFonts w:ascii="Times New Roman" w:eastAsia="MS Mincho" w:hAnsi="Times New Roman"/>
                <w:b/>
                <w:sz w:val="20"/>
                <w:szCs w:val="20"/>
                <w:lang w:val="de-DE"/>
              </w:rPr>
              <w:t xml:space="preserve"> 37</w:t>
            </w:r>
          </w:p>
          <w:p w:rsidR="00FF491E" w:rsidRPr="00ED613F" w:rsidRDefault="00FF491E" w:rsidP="00ED613F">
            <w:pPr>
              <w:jc w:val="center"/>
              <w:rPr>
                <w:rFonts w:ascii="Times New Roman" w:eastAsia="MS Mincho" w:hAnsi="Times New Roman"/>
                <w:sz w:val="20"/>
                <w:szCs w:val="20"/>
                <w:lang w:val="de-DE"/>
              </w:rPr>
            </w:pPr>
            <w:r w:rsidRPr="00ED613F">
              <w:rPr>
                <w:rFonts w:ascii="Times New Roman" w:eastAsia="MS Mincho" w:hAnsi="Times New Roman"/>
                <w:b/>
                <w:sz w:val="20"/>
                <w:szCs w:val="20"/>
                <w:lang w:val="de-DE"/>
              </w:rPr>
              <w:t>(</w:t>
            </w:r>
            <w:proofErr w:type="spellStart"/>
            <w:r w:rsidRPr="00ED613F">
              <w:rPr>
                <w:rFonts w:ascii="Times New Roman" w:eastAsia="MS Mincho" w:hAnsi="Times New Roman"/>
                <w:b/>
                <w:sz w:val="20"/>
                <w:szCs w:val="20"/>
                <w:lang w:val="de-DE"/>
              </w:rPr>
              <w:t>dot</w:t>
            </w:r>
            <w:proofErr w:type="spellEnd"/>
            <w:r w:rsidRPr="00ED613F">
              <w:rPr>
                <w:rFonts w:ascii="Times New Roman" w:eastAsia="MS Mincho" w:hAnsi="Times New Roman"/>
                <w:b/>
                <w:sz w:val="20"/>
                <w:szCs w:val="20"/>
                <w:lang w:val="de-DE"/>
              </w:rPr>
              <w:t xml:space="preserve">. art. 573 </w:t>
            </w:r>
            <w:proofErr w:type="spellStart"/>
            <w:r w:rsidRPr="00ED613F">
              <w:rPr>
                <w:rFonts w:ascii="Times New Roman" w:eastAsia="MS Mincho" w:hAnsi="Times New Roman"/>
                <w:b/>
                <w:sz w:val="20"/>
                <w:szCs w:val="20"/>
                <w:lang w:val="de-DE"/>
              </w:rPr>
              <w:t>K.s.h</w:t>
            </w:r>
            <w:proofErr w:type="spellEnd"/>
            <w:r w:rsidRPr="00ED613F">
              <w:rPr>
                <w:rFonts w:ascii="Times New Roman" w:eastAsia="MS Mincho" w:hAnsi="Times New Roman"/>
                <w:b/>
                <w:sz w:val="20"/>
                <w:szCs w:val="20"/>
                <w:lang w:val="de-DE"/>
              </w:rPr>
              <w:t>.)</w:t>
            </w: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 xml:space="preserve">Zmiana proponowana w art. 1 pkt 37 lit. a wydaje się być zbędna, gdyż w brzmieniu art. 573 § 1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nie wprowadza żadnych zmian w stosunku do obecnie obowiązującego stanu prawnego.</w:t>
            </w:r>
          </w:p>
        </w:tc>
        <w:tc>
          <w:tcPr>
            <w:tcW w:w="5436" w:type="dxa"/>
          </w:tcPr>
          <w:p w:rsidR="00FF491E" w:rsidRPr="006F6473" w:rsidRDefault="00A17E17" w:rsidP="00D210AA">
            <w:pPr>
              <w:jc w:val="both"/>
              <w:rPr>
                <w:rFonts w:ascii="Times New Roman" w:eastAsia="MS Mincho" w:hAnsi="Times New Roman"/>
                <w:sz w:val="20"/>
                <w:szCs w:val="20"/>
              </w:rPr>
            </w:pPr>
            <w:r w:rsidRPr="006F6473">
              <w:rPr>
                <w:rFonts w:ascii="Times New Roman" w:eastAsia="MS Mincho" w:hAnsi="Times New Roman"/>
                <w:sz w:val="20"/>
                <w:szCs w:val="20"/>
              </w:rPr>
              <w:t>U</w:t>
            </w:r>
            <w:r w:rsidR="00563C8F" w:rsidRPr="006F6473">
              <w:rPr>
                <w:rFonts w:ascii="Times New Roman" w:eastAsia="MS Mincho" w:hAnsi="Times New Roman"/>
                <w:sz w:val="20"/>
                <w:szCs w:val="20"/>
              </w:rPr>
              <w:t>waga została uwzględni</w:t>
            </w:r>
            <w:r w:rsidRPr="006F6473">
              <w:rPr>
                <w:rFonts w:ascii="Times New Roman" w:eastAsia="MS Mincho" w:hAnsi="Times New Roman"/>
                <w:sz w:val="20"/>
                <w:szCs w:val="20"/>
              </w:rPr>
              <w:t>ona</w:t>
            </w:r>
            <w:r w:rsidR="00563C8F" w:rsidRPr="006F6473">
              <w:rPr>
                <w:rFonts w:ascii="Times New Roman" w:eastAsia="MS Mincho" w:hAnsi="Times New Roman"/>
                <w:sz w:val="20"/>
                <w:szCs w:val="20"/>
              </w:rPr>
              <w:t xml:space="preserve">: </w:t>
            </w:r>
            <w:r w:rsidR="00F13AC1" w:rsidRPr="006F6473">
              <w:rPr>
                <w:rFonts w:ascii="Times New Roman" w:eastAsia="MS Mincho" w:hAnsi="Times New Roman"/>
                <w:sz w:val="20"/>
                <w:szCs w:val="20"/>
              </w:rPr>
              <w:t xml:space="preserve">zmiana przewidziana w </w:t>
            </w:r>
            <w:r w:rsidR="00D210AA" w:rsidRPr="006F6473">
              <w:rPr>
                <w:rFonts w:ascii="Times New Roman" w:eastAsia="MS Mincho" w:hAnsi="Times New Roman"/>
                <w:sz w:val="20"/>
                <w:szCs w:val="20"/>
              </w:rPr>
              <w:t xml:space="preserve"> art. 1 pkt 37 </w:t>
            </w:r>
            <w:r w:rsidR="00563C8F" w:rsidRPr="006F6473">
              <w:rPr>
                <w:rFonts w:ascii="Times New Roman" w:eastAsia="MS Mincho" w:hAnsi="Times New Roman"/>
                <w:sz w:val="20"/>
                <w:szCs w:val="20"/>
              </w:rPr>
              <w:t>lit. a projektu zostanie wykreślona.</w:t>
            </w:r>
          </w:p>
        </w:tc>
      </w:tr>
      <w:tr w:rsidR="00FF491E" w:rsidRPr="00ED613F" w:rsidTr="00DF2700">
        <w:tc>
          <w:tcPr>
            <w:tcW w:w="572" w:type="dxa"/>
            <w:shd w:val="clear" w:color="auto" w:fill="auto"/>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35.</w:t>
            </w:r>
          </w:p>
        </w:tc>
        <w:tc>
          <w:tcPr>
            <w:tcW w:w="2127"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Art. 3 ust. 1</w:t>
            </w:r>
          </w:p>
        </w:tc>
        <w:tc>
          <w:tcPr>
            <w:tcW w:w="1291" w:type="dxa"/>
          </w:tcPr>
          <w:p w:rsidR="00FF491E" w:rsidRPr="00ED613F" w:rsidRDefault="00FF491E" w:rsidP="00ED613F">
            <w:pPr>
              <w:spacing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Przepis art. 3 ust</w:t>
            </w:r>
            <w:r w:rsidR="000029E1" w:rsidRPr="006F6473">
              <w:rPr>
                <w:rFonts w:ascii="Times New Roman" w:eastAsia="MS Mincho" w:hAnsi="Times New Roman"/>
                <w:sz w:val="20"/>
                <w:szCs w:val="20"/>
              </w:rPr>
              <w:t>.</w:t>
            </w:r>
            <w:r w:rsidRPr="006F6473">
              <w:rPr>
                <w:rFonts w:ascii="Times New Roman" w:eastAsia="MS Mincho" w:hAnsi="Times New Roman"/>
                <w:sz w:val="20"/>
                <w:szCs w:val="20"/>
              </w:rPr>
              <w:t xml:space="preserve"> 1 projektu ustawy wprowadza do systemu prawa nową instytucję wygaszenia z mocy prawa dokumentów niezdematerializowanych akcji wydanych przez spółkę. </w:t>
            </w:r>
          </w:p>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Wyjaśnienia zatem wymaga, jakie skutki prawne będzie rodzić takie wygaszenie w odniesieniu do praw udziałowych, a w szczególności do praw akcjonariuszy związanych z wygaszonym dokumentem akcji.</w:t>
            </w:r>
          </w:p>
        </w:tc>
        <w:tc>
          <w:tcPr>
            <w:tcW w:w="5436" w:type="dxa"/>
          </w:tcPr>
          <w:p w:rsidR="00766F8C" w:rsidRPr="006F6473" w:rsidRDefault="00A61417" w:rsidP="00766F8C">
            <w:pPr>
              <w:jc w:val="both"/>
              <w:rPr>
                <w:rFonts w:ascii="Times New Roman" w:eastAsia="MS Mincho" w:hAnsi="Times New Roman"/>
                <w:sz w:val="20"/>
                <w:szCs w:val="20"/>
              </w:rPr>
            </w:pPr>
            <w:r w:rsidRPr="006F6473">
              <w:rPr>
                <w:rFonts w:ascii="Times New Roman" w:eastAsia="MS Mincho" w:hAnsi="Times New Roman"/>
                <w:sz w:val="20"/>
                <w:szCs w:val="20"/>
              </w:rPr>
              <w:t>Wyjaśniono, że omawiany przepis odnosi się wyłącznie do dokumentu akcji</w:t>
            </w:r>
            <w:r w:rsidR="001B2250" w:rsidRPr="006F6473">
              <w:rPr>
                <w:rFonts w:ascii="Times New Roman" w:eastAsia="MS Mincho" w:hAnsi="Times New Roman"/>
                <w:sz w:val="20"/>
                <w:szCs w:val="20"/>
              </w:rPr>
              <w:t xml:space="preserve"> i oznacza utratę funkcji legitymacyjnej i obiegowej dokumentu akcji. Od dokumentu akcji należy odróżnić</w:t>
            </w:r>
            <w:r w:rsidR="006C3352" w:rsidRPr="006F6473">
              <w:rPr>
                <w:rFonts w:ascii="Times New Roman" w:eastAsia="MS Mincho" w:hAnsi="Times New Roman"/>
                <w:sz w:val="20"/>
                <w:szCs w:val="20"/>
              </w:rPr>
              <w:t xml:space="preserve"> prawo udziałowe: </w:t>
            </w:r>
            <w:r w:rsidR="0096235C" w:rsidRPr="006F6473">
              <w:rPr>
                <w:rFonts w:ascii="Times New Roman" w:eastAsia="MS Mincho" w:hAnsi="Times New Roman"/>
                <w:sz w:val="20"/>
                <w:szCs w:val="20"/>
              </w:rPr>
              <w:t xml:space="preserve">nie jest </w:t>
            </w:r>
            <w:r w:rsidR="006C3352" w:rsidRPr="006F6473">
              <w:rPr>
                <w:rFonts w:ascii="Times New Roman" w:eastAsia="MS Mincho" w:hAnsi="Times New Roman"/>
                <w:sz w:val="20"/>
                <w:szCs w:val="20"/>
              </w:rPr>
              <w:t xml:space="preserve">ono </w:t>
            </w:r>
            <w:r w:rsidR="0096235C" w:rsidRPr="006F6473">
              <w:rPr>
                <w:rFonts w:ascii="Times New Roman" w:eastAsia="MS Mincho" w:hAnsi="Times New Roman"/>
                <w:sz w:val="20"/>
                <w:szCs w:val="20"/>
              </w:rPr>
              <w:t>objęte dyspozycją omawianego przepisu</w:t>
            </w:r>
            <w:r w:rsidR="001B2250" w:rsidRPr="006F6473">
              <w:rPr>
                <w:rFonts w:ascii="Times New Roman" w:eastAsia="MS Mincho" w:hAnsi="Times New Roman"/>
                <w:sz w:val="20"/>
                <w:szCs w:val="20"/>
              </w:rPr>
              <w:t xml:space="preserve"> </w:t>
            </w:r>
            <w:r w:rsidR="006C3352" w:rsidRPr="006F6473">
              <w:rPr>
                <w:rFonts w:ascii="Times New Roman" w:eastAsia="MS Mincho" w:hAnsi="Times New Roman"/>
                <w:sz w:val="20"/>
                <w:szCs w:val="20"/>
              </w:rPr>
              <w:t>i nie wygasa z dniem wejścia w</w:t>
            </w:r>
            <w:r w:rsidR="00C10416" w:rsidRPr="006F6473">
              <w:rPr>
                <w:rFonts w:ascii="Times New Roman" w:eastAsia="MS Mincho" w:hAnsi="Times New Roman"/>
                <w:sz w:val="20"/>
                <w:szCs w:val="20"/>
              </w:rPr>
              <w:t xml:space="preserve"> ż</w:t>
            </w:r>
            <w:r w:rsidR="006C3352" w:rsidRPr="006F6473">
              <w:rPr>
                <w:rFonts w:ascii="Times New Roman" w:eastAsia="MS Mincho" w:hAnsi="Times New Roman"/>
                <w:sz w:val="20"/>
                <w:szCs w:val="20"/>
              </w:rPr>
              <w:t>ycie ustaw</w:t>
            </w:r>
            <w:r w:rsidR="004D59BB" w:rsidRPr="006F6473">
              <w:rPr>
                <w:rFonts w:ascii="Times New Roman" w:eastAsia="MS Mincho" w:hAnsi="Times New Roman"/>
                <w:sz w:val="20"/>
                <w:szCs w:val="20"/>
              </w:rPr>
              <w:t>y</w:t>
            </w:r>
            <w:r w:rsidR="006C3352" w:rsidRPr="006F6473">
              <w:rPr>
                <w:rFonts w:ascii="Times New Roman" w:eastAsia="MS Mincho" w:hAnsi="Times New Roman"/>
                <w:sz w:val="20"/>
                <w:szCs w:val="20"/>
              </w:rPr>
              <w:t>.</w:t>
            </w:r>
            <w:r w:rsidR="00766F8C" w:rsidRPr="006F6473">
              <w:rPr>
                <w:rFonts w:ascii="Times New Roman" w:eastAsia="MS Mincho" w:hAnsi="Times New Roman"/>
                <w:sz w:val="20"/>
                <w:szCs w:val="20"/>
              </w:rPr>
              <w:t xml:space="preserve"> Uzasadnienie do projektu ustawy zostanie w omawianym zakresie stosownie uzupełnione.</w:t>
            </w:r>
          </w:p>
          <w:p w:rsidR="00B2057A" w:rsidRPr="006F6473" w:rsidRDefault="00DB4D94" w:rsidP="00976082">
            <w:pPr>
              <w:jc w:val="both"/>
              <w:rPr>
                <w:rFonts w:ascii="Times New Roman" w:eastAsia="MS Mincho" w:hAnsi="Times New Roman"/>
                <w:sz w:val="20"/>
                <w:szCs w:val="20"/>
              </w:rPr>
            </w:pPr>
            <w:r w:rsidRPr="006F6473">
              <w:rPr>
                <w:rFonts w:ascii="Times New Roman" w:eastAsia="MS Mincho" w:hAnsi="Times New Roman"/>
                <w:sz w:val="20"/>
                <w:szCs w:val="20"/>
              </w:rPr>
              <w:t>W ust. 2 przewidziany jest</w:t>
            </w:r>
            <w:r w:rsidR="00464A49" w:rsidRPr="006F6473">
              <w:rPr>
                <w:rFonts w:ascii="Times New Roman" w:eastAsia="MS Mincho" w:hAnsi="Times New Roman"/>
                <w:sz w:val="20"/>
                <w:szCs w:val="20"/>
              </w:rPr>
              <w:t xml:space="preserve"> </w:t>
            </w:r>
            <w:r w:rsidRPr="006F6473">
              <w:rPr>
                <w:rFonts w:ascii="Times New Roman" w:eastAsia="MS Mincho" w:hAnsi="Times New Roman"/>
                <w:sz w:val="20"/>
                <w:szCs w:val="20"/>
              </w:rPr>
              <w:t>wyjątek</w:t>
            </w:r>
            <w:r w:rsidR="00C10416" w:rsidRPr="006F6473">
              <w:rPr>
                <w:rFonts w:ascii="Times New Roman" w:eastAsia="MS Mincho" w:hAnsi="Times New Roman"/>
                <w:sz w:val="20"/>
                <w:szCs w:val="20"/>
              </w:rPr>
              <w:t xml:space="preserve"> </w:t>
            </w:r>
            <w:r w:rsidR="00464A49" w:rsidRPr="006F6473">
              <w:rPr>
                <w:rFonts w:ascii="Times New Roman" w:eastAsia="MS Mincho" w:hAnsi="Times New Roman"/>
                <w:sz w:val="20"/>
                <w:szCs w:val="20"/>
              </w:rPr>
              <w:t xml:space="preserve">utrzymujący ograniczoną </w:t>
            </w:r>
            <w:r w:rsidR="00464A49" w:rsidRPr="006F6473">
              <w:rPr>
                <w:rFonts w:ascii="Times New Roman" w:eastAsia="MS Mincho" w:hAnsi="Times New Roman"/>
                <w:sz w:val="20"/>
                <w:szCs w:val="20"/>
              </w:rPr>
              <w:lastRenderedPageBreak/>
              <w:t>moc dowodową dokumentów</w:t>
            </w:r>
            <w:r w:rsidR="00B53547" w:rsidRPr="006F6473">
              <w:rPr>
                <w:rFonts w:ascii="Times New Roman" w:eastAsia="MS Mincho" w:hAnsi="Times New Roman"/>
                <w:sz w:val="20"/>
                <w:szCs w:val="20"/>
              </w:rPr>
              <w:t xml:space="preserve"> akcji</w:t>
            </w:r>
            <w:r w:rsidR="00D81E8E" w:rsidRPr="006F6473">
              <w:rPr>
                <w:rFonts w:ascii="Times New Roman" w:eastAsia="MS Mincho" w:hAnsi="Times New Roman"/>
                <w:sz w:val="20"/>
                <w:szCs w:val="20"/>
              </w:rPr>
              <w:t>. Zapewnia on pewną minimalną ochronę prawn</w:t>
            </w:r>
            <w:r w:rsidR="00C670D4" w:rsidRPr="006F6473">
              <w:rPr>
                <w:rFonts w:ascii="Times New Roman" w:eastAsia="MS Mincho" w:hAnsi="Times New Roman"/>
                <w:sz w:val="20"/>
                <w:szCs w:val="20"/>
              </w:rPr>
              <w:t>ą</w:t>
            </w:r>
            <w:r w:rsidR="00D81E8E" w:rsidRPr="006F6473">
              <w:rPr>
                <w:rFonts w:ascii="Times New Roman" w:eastAsia="MS Mincho" w:hAnsi="Times New Roman"/>
                <w:sz w:val="20"/>
                <w:szCs w:val="20"/>
              </w:rPr>
              <w:t xml:space="preserve"> nawet tym akcjonariuszom, którzy </w:t>
            </w:r>
            <w:r w:rsidR="00C670D4" w:rsidRPr="006F6473">
              <w:rPr>
                <w:rFonts w:ascii="Times New Roman" w:eastAsia="MS Mincho" w:hAnsi="Times New Roman"/>
                <w:sz w:val="20"/>
                <w:szCs w:val="20"/>
              </w:rPr>
              <w:t>wykazali się rażącym niedbalstwem i mimo kilkakrotnych wezwań spółki</w:t>
            </w:r>
            <w:r w:rsidR="00D81E8E" w:rsidRPr="006F6473">
              <w:rPr>
                <w:rFonts w:ascii="Times New Roman" w:eastAsia="MS Mincho" w:hAnsi="Times New Roman"/>
                <w:sz w:val="20"/>
                <w:szCs w:val="20"/>
              </w:rPr>
              <w:t xml:space="preserve"> </w:t>
            </w:r>
            <w:r w:rsidR="002E0AE3" w:rsidRPr="006F6473">
              <w:rPr>
                <w:rFonts w:ascii="Times New Roman" w:eastAsia="MS Mincho" w:hAnsi="Times New Roman"/>
                <w:sz w:val="20"/>
                <w:szCs w:val="20"/>
              </w:rPr>
              <w:t>nie złożyli jej dokumentów akcji.</w:t>
            </w:r>
            <w:r w:rsidR="00A6552C" w:rsidRPr="006F6473">
              <w:rPr>
                <w:rFonts w:ascii="Times New Roman" w:eastAsia="MS Mincho" w:hAnsi="Times New Roman"/>
                <w:sz w:val="20"/>
                <w:szCs w:val="20"/>
              </w:rPr>
              <w:t xml:space="preserve"> </w:t>
            </w:r>
            <w:r w:rsidR="00036D6E" w:rsidRPr="006F6473">
              <w:rPr>
                <w:rFonts w:ascii="Times New Roman" w:eastAsia="MS Mincho" w:hAnsi="Times New Roman"/>
                <w:sz w:val="20"/>
                <w:szCs w:val="20"/>
              </w:rPr>
              <w:t>Po dodatkowej analizie rozszerzono</w:t>
            </w:r>
            <w:r w:rsidR="009E183F" w:rsidRPr="006F6473">
              <w:rPr>
                <w:rFonts w:ascii="Times New Roman" w:eastAsia="MS Mincho" w:hAnsi="Times New Roman"/>
                <w:sz w:val="20"/>
                <w:szCs w:val="20"/>
              </w:rPr>
              <w:t xml:space="preserve"> zakres tego przepisu także na akcje imienne: wprawdzie </w:t>
            </w:r>
            <w:r w:rsidR="003A4DBD" w:rsidRPr="006F6473">
              <w:rPr>
                <w:rFonts w:ascii="Times New Roman" w:eastAsia="MS Mincho" w:hAnsi="Times New Roman"/>
                <w:sz w:val="20"/>
                <w:szCs w:val="20"/>
              </w:rPr>
              <w:t xml:space="preserve">uprawnionych z </w:t>
            </w:r>
            <w:r w:rsidR="00A6552C" w:rsidRPr="006F6473">
              <w:rPr>
                <w:rFonts w:ascii="Times New Roman" w:eastAsia="MS Mincho" w:hAnsi="Times New Roman"/>
                <w:sz w:val="20"/>
                <w:szCs w:val="20"/>
              </w:rPr>
              <w:t xml:space="preserve">akcji imiennych </w:t>
            </w:r>
            <w:r w:rsidR="003A4DBD" w:rsidRPr="006F6473">
              <w:rPr>
                <w:rFonts w:ascii="Times New Roman" w:eastAsia="MS Mincho" w:hAnsi="Times New Roman"/>
                <w:sz w:val="20"/>
                <w:szCs w:val="20"/>
              </w:rPr>
              <w:t>można zasadniczo ustalić</w:t>
            </w:r>
            <w:r w:rsidR="00976082" w:rsidRPr="006F6473">
              <w:rPr>
                <w:rFonts w:ascii="Times New Roman" w:eastAsia="MS Mincho" w:hAnsi="Times New Roman"/>
                <w:sz w:val="20"/>
                <w:szCs w:val="20"/>
              </w:rPr>
              <w:t xml:space="preserve"> na podstawie księgi akcyjnej, co z reguły będzie wystarczające do ochrony ich praw, ale nie można wykluczyć sytuacji, w których okaże się to niewystarczające </w:t>
            </w:r>
            <w:r w:rsidR="00B2057A" w:rsidRPr="006F6473">
              <w:rPr>
                <w:rFonts w:ascii="Times New Roman" w:eastAsia="MS Mincho" w:hAnsi="Times New Roman"/>
                <w:sz w:val="20"/>
                <w:szCs w:val="20"/>
              </w:rPr>
              <w:t xml:space="preserve"> </w:t>
            </w:r>
            <w:r w:rsidR="00976082" w:rsidRPr="006F6473">
              <w:rPr>
                <w:rFonts w:ascii="Times New Roman" w:eastAsia="MS Mincho" w:hAnsi="Times New Roman"/>
                <w:sz w:val="20"/>
                <w:szCs w:val="20"/>
              </w:rPr>
              <w:t xml:space="preserve">(może np. zdarzyć się, </w:t>
            </w:r>
            <w:r w:rsidR="00B2057A" w:rsidRPr="006F6473">
              <w:rPr>
                <w:rFonts w:ascii="Times New Roman" w:eastAsia="MS Mincho" w:hAnsi="Times New Roman"/>
                <w:sz w:val="20"/>
                <w:szCs w:val="20"/>
              </w:rPr>
              <w:t xml:space="preserve">że </w:t>
            </w:r>
            <w:r w:rsidR="00460225" w:rsidRPr="006F6473">
              <w:rPr>
                <w:rFonts w:ascii="Times New Roman" w:eastAsia="MS Mincho" w:hAnsi="Times New Roman"/>
                <w:sz w:val="20"/>
                <w:szCs w:val="20"/>
              </w:rPr>
              <w:t xml:space="preserve">tuż przed wejściem w życie ustawy dojdzie do przejścia akcji imiennych na inną </w:t>
            </w:r>
            <w:r w:rsidR="001A018F" w:rsidRPr="006F6473">
              <w:rPr>
                <w:rFonts w:ascii="Times New Roman" w:eastAsia="MS Mincho" w:hAnsi="Times New Roman"/>
                <w:sz w:val="20"/>
                <w:szCs w:val="20"/>
              </w:rPr>
              <w:t>osobę</w:t>
            </w:r>
            <w:r w:rsidR="0057353B" w:rsidRPr="006F6473">
              <w:rPr>
                <w:rFonts w:ascii="Times New Roman" w:eastAsia="MS Mincho" w:hAnsi="Times New Roman"/>
                <w:sz w:val="20"/>
                <w:szCs w:val="20"/>
              </w:rPr>
              <w:t xml:space="preserve">, </w:t>
            </w:r>
            <w:r w:rsidR="00460225" w:rsidRPr="006F6473">
              <w:rPr>
                <w:rFonts w:ascii="Times New Roman" w:eastAsia="MS Mincho" w:hAnsi="Times New Roman"/>
                <w:sz w:val="20"/>
                <w:szCs w:val="20"/>
              </w:rPr>
              <w:t>np.  w drodze sukcesji generalnej</w:t>
            </w:r>
            <w:r w:rsidR="0057353B" w:rsidRPr="006F6473">
              <w:rPr>
                <w:rFonts w:ascii="Times New Roman" w:eastAsia="MS Mincho" w:hAnsi="Times New Roman"/>
                <w:sz w:val="20"/>
                <w:szCs w:val="20"/>
              </w:rPr>
              <w:t>,</w:t>
            </w:r>
            <w:r w:rsidR="001A018F" w:rsidRPr="006F6473">
              <w:rPr>
                <w:rFonts w:ascii="Times New Roman" w:eastAsia="MS Mincho" w:hAnsi="Times New Roman"/>
                <w:sz w:val="20"/>
                <w:szCs w:val="20"/>
              </w:rPr>
              <w:t xml:space="preserve"> i </w:t>
            </w:r>
            <w:r w:rsidR="0057353B" w:rsidRPr="006F6473">
              <w:rPr>
                <w:rFonts w:ascii="Times New Roman" w:eastAsia="MS Mincho" w:hAnsi="Times New Roman"/>
                <w:sz w:val="20"/>
                <w:szCs w:val="20"/>
              </w:rPr>
              <w:t>następca</w:t>
            </w:r>
            <w:r w:rsidR="001A018F" w:rsidRPr="006F6473">
              <w:rPr>
                <w:rFonts w:ascii="Times New Roman" w:eastAsia="MS Mincho" w:hAnsi="Times New Roman"/>
                <w:sz w:val="20"/>
                <w:szCs w:val="20"/>
              </w:rPr>
              <w:t xml:space="preserve"> nie zdąży wp</w:t>
            </w:r>
            <w:r w:rsidR="00460225" w:rsidRPr="006F6473">
              <w:rPr>
                <w:rFonts w:ascii="Times New Roman" w:eastAsia="MS Mincho" w:hAnsi="Times New Roman"/>
                <w:sz w:val="20"/>
                <w:szCs w:val="20"/>
              </w:rPr>
              <w:t>i</w:t>
            </w:r>
            <w:r w:rsidR="001A018F" w:rsidRPr="006F6473">
              <w:rPr>
                <w:rFonts w:ascii="Times New Roman" w:eastAsia="MS Mincho" w:hAnsi="Times New Roman"/>
                <w:sz w:val="20"/>
                <w:szCs w:val="20"/>
              </w:rPr>
              <w:t>s</w:t>
            </w:r>
            <w:r w:rsidR="00460225" w:rsidRPr="006F6473">
              <w:rPr>
                <w:rFonts w:ascii="Times New Roman" w:eastAsia="MS Mincho" w:hAnsi="Times New Roman"/>
                <w:sz w:val="20"/>
                <w:szCs w:val="20"/>
              </w:rPr>
              <w:t xml:space="preserve">ać </w:t>
            </w:r>
            <w:r w:rsidR="00766F8C" w:rsidRPr="006F6473">
              <w:rPr>
                <w:rFonts w:ascii="Times New Roman" w:eastAsia="MS Mincho" w:hAnsi="Times New Roman"/>
                <w:sz w:val="20"/>
                <w:szCs w:val="20"/>
              </w:rPr>
              <w:t xml:space="preserve"> się </w:t>
            </w:r>
            <w:r w:rsidR="00460225" w:rsidRPr="006F6473">
              <w:rPr>
                <w:rFonts w:ascii="Times New Roman" w:eastAsia="MS Mincho" w:hAnsi="Times New Roman"/>
                <w:sz w:val="20"/>
                <w:szCs w:val="20"/>
              </w:rPr>
              <w:t xml:space="preserve">do </w:t>
            </w:r>
            <w:r w:rsidR="001A018F" w:rsidRPr="006F6473">
              <w:rPr>
                <w:rFonts w:ascii="Times New Roman" w:eastAsia="MS Mincho" w:hAnsi="Times New Roman"/>
                <w:sz w:val="20"/>
                <w:szCs w:val="20"/>
              </w:rPr>
              <w:t xml:space="preserve">księgi akcyjnej przed </w:t>
            </w:r>
            <w:r w:rsidR="008E7A1A" w:rsidRPr="006F6473">
              <w:rPr>
                <w:rFonts w:ascii="Times New Roman" w:eastAsia="MS Mincho" w:hAnsi="Times New Roman"/>
                <w:sz w:val="20"/>
                <w:szCs w:val="20"/>
              </w:rPr>
              <w:t>wejściem</w:t>
            </w:r>
            <w:r w:rsidR="001A018F" w:rsidRPr="006F6473">
              <w:rPr>
                <w:rFonts w:ascii="Times New Roman" w:eastAsia="MS Mincho" w:hAnsi="Times New Roman"/>
                <w:sz w:val="20"/>
                <w:szCs w:val="20"/>
              </w:rPr>
              <w:t xml:space="preserve"> </w:t>
            </w:r>
            <w:r w:rsidR="00210DB1" w:rsidRPr="006F6473">
              <w:rPr>
                <w:rFonts w:ascii="Times New Roman" w:eastAsia="MS Mincho" w:hAnsi="Times New Roman"/>
                <w:sz w:val="20"/>
                <w:szCs w:val="20"/>
              </w:rPr>
              <w:t xml:space="preserve">w </w:t>
            </w:r>
            <w:r w:rsidR="001A018F" w:rsidRPr="006F6473">
              <w:rPr>
                <w:rFonts w:ascii="Times New Roman" w:eastAsia="MS Mincho" w:hAnsi="Times New Roman"/>
                <w:sz w:val="20"/>
                <w:szCs w:val="20"/>
              </w:rPr>
              <w:t xml:space="preserve">życie </w:t>
            </w:r>
            <w:r w:rsidR="008E7A1A" w:rsidRPr="006F6473">
              <w:rPr>
                <w:rFonts w:ascii="Times New Roman" w:eastAsia="MS Mincho" w:hAnsi="Times New Roman"/>
                <w:sz w:val="20"/>
                <w:szCs w:val="20"/>
              </w:rPr>
              <w:t>ustawy</w:t>
            </w:r>
            <w:r w:rsidR="0057353B" w:rsidRPr="006F6473">
              <w:rPr>
                <w:rFonts w:ascii="Times New Roman" w:eastAsia="MS Mincho" w:hAnsi="Times New Roman"/>
                <w:sz w:val="20"/>
                <w:szCs w:val="20"/>
              </w:rPr>
              <w:t>)</w:t>
            </w:r>
            <w:r w:rsidR="001A018F" w:rsidRPr="006F6473">
              <w:rPr>
                <w:rFonts w:ascii="Times New Roman" w:eastAsia="MS Mincho" w:hAnsi="Times New Roman"/>
                <w:sz w:val="20"/>
                <w:szCs w:val="20"/>
              </w:rPr>
              <w:t>.</w:t>
            </w:r>
          </w:p>
          <w:p w:rsidR="001200A9" w:rsidRPr="006F6473" w:rsidRDefault="001200A9" w:rsidP="00766F8C">
            <w:pPr>
              <w:jc w:val="both"/>
              <w:rPr>
                <w:rFonts w:ascii="Times New Roman" w:eastAsia="MS Mincho" w:hAnsi="Times New Roman"/>
                <w:sz w:val="20"/>
                <w:szCs w:val="20"/>
              </w:rPr>
            </w:pPr>
            <w:r w:rsidRPr="006F6473">
              <w:rPr>
                <w:rFonts w:ascii="Times New Roman" w:eastAsia="MS Mincho" w:hAnsi="Times New Roman"/>
                <w:sz w:val="20"/>
                <w:szCs w:val="20"/>
              </w:rPr>
              <w:t>Dodatkowo</w:t>
            </w:r>
            <w:r w:rsidR="00826871" w:rsidRPr="006F6473">
              <w:rPr>
                <w:rFonts w:ascii="Times New Roman" w:eastAsia="MS Mincho" w:hAnsi="Times New Roman"/>
                <w:sz w:val="20"/>
                <w:szCs w:val="20"/>
              </w:rPr>
              <w:t>, w zw. z uwagą z pkt 36 niniejszej tabel</w:t>
            </w:r>
            <w:r w:rsidR="002800BC" w:rsidRPr="006F6473">
              <w:rPr>
                <w:rFonts w:ascii="Times New Roman" w:eastAsia="MS Mincho" w:hAnsi="Times New Roman"/>
                <w:sz w:val="20"/>
                <w:szCs w:val="20"/>
              </w:rPr>
              <w:t>i</w:t>
            </w:r>
            <w:r w:rsidR="00826871" w:rsidRPr="006F6473">
              <w:rPr>
                <w:rFonts w:ascii="Times New Roman" w:eastAsia="MS Mincho" w:hAnsi="Times New Roman"/>
                <w:sz w:val="20"/>
                <w:szCs w:val="20"/>
              </w:rPr>
              <w:t>,</w:t>
            </w:r>
            <w:r w:rsidRPr="006F6473">
              <w:rPr>
                <w:rFonts w:ascii="Times New Roman" w:eastAsia="MS Mincho" w:hAnsi="Times New Roman"/>
                <w:sz w:val="20"/>
                <w:szCs w:val="20"/>
              </w:rPr>
              <w:t xml:space="preserve"> ustalono, że okres, w którym dokumenty akcji zachowują </w:t>
            </w:r>
            <w:r w:rsidR="00766F8C" w:rsidRPr="006F6473">
              <w:rPr>
                <w:rFonts w:ascii="Times New Roman" w:eastAsia="MS Mincho" w:hAnsi="Times New Roman"/>
                <w:sz w:val="20"/>
                <w:szCs w:val="20"/>
              </w:rPr>
              <w:t xml:space="preserve">ograniczoną </w:t>
            </w:r>
            <w:r w:rsidRPr="006F6473">
              <w:rPr>
                <w:rFonts w:ascii="Times New Roman" w:eastAsia="MS Mincho" w:hAnsi="Times New Roman"/>
                <w:sz w:val="20"/>
                <w:szCs w:val="20"/>
              </w:rPr>
              <w:t>moc dowodow</w:t>
            </w:r>
            <w:r w:rsidR="00826871" w:rsidRPr="006F6473">
              <w:rPr>
                <w:rFonts w:ascii="Times New Roman" w:eastAsia="MS Mincho" w:hAnsi="Times New Roman"/>
                <w:sz w:val="20"/>
                <w:szCs w:val="20"/>
              </w:rPr>
              <w:t>ą</w:t>
            </w:r>
            <w:r w:rsidRPr="006F6473">
              <w:rPr>
                <w:rFonts w:ascii="Times New Roman" w:eastAsia="MS Mincho" w:hAnsi="Times New Roman"/>
                <w:sz w:val="20"/>
                <w:szCs w:val="20"/>
              </w:rPr>
              <w:t>, zostanie wydłużony do 5 lat – ust.</w:t>
            </w:r>
            <w:r w:rsidR="00C118BD" w:rsidRPr="006F6473">
              <w:rPr>
                <w:rFonts w:ascii="Times New Roman" w:eastAsia="MS Mincho" w:hAnsi="Times New Roman"/>
                <w:sz w:val="20"/>
                <w:szCs w:val="20"/>
              </w:rPr>
              <w:t xml:space="preserve"> </w:t>
            </w:r>
            <w:r w:rsidRPr="006F6473">
              <w:rPr>
                <w:rFonts w:ascii="Times New Roman" w:eastAsia="MS Mincho" w:hAnsi="Times New Roman"/>
                <w:sz w:val="20"/>
                <w:szCs w:val="20"/>
              </w:rPr>
              <w:t>2 zostanie w tym zakresie zmieniony.</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36.</w:t>
            </w:r>
          </w:p>
        </w:tc>
        <w:tc>
          <w:tcPr>
            <w:tcW w:w="2127" w:type="dxa"/>
            <w:vMerge w:val="restart"/>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Art. 6</w:t>
            </w:r>
          </w:p>
          <w:p w:rsidR="00FF491E" w:rsidRPr="00ED613F" w:rsidRDefault="00FF491E" w:rsidP="00ED613F">
            <w:pPr>
              <w:jc w:val="center"/>
              <w:rPr>
                <w:rFonts w:ascii="Times New Roman" w:eastAsia="MS Mincho" w:hAnsi="Times New Roman"/>
                <w:b/>
                <w:sz w:val="20"/>
                <w:szCs w:val="20"/>
              </w:rPr>
            </w:pPr>
          </w:p>
        </w:tc>
        <w:tc>
          <w:tcPr>
            <w:tcW w:w="1291"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2D7805"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 xml:space="preserve">Może budzić wątpliwości, czy proponowany okres </w:t>
            </w:r>
            <w:r w:rsidRPr="006F6473">
              <w:rPr>
                <w:rFonts w:ascii="Times New Roman" w:eastAsia="MS Mincho" w:hAnsi="Times New Roman"/>
                <w:i/>
                <w:iCs/>
                <w:sz w:val="20"/>
                <w:szCs w:val="20"/>
              </w:rPr>
              <w:t xml:space="preserve">vacatio legis </w:t>
            </w:r>
            <w:r w:rsidRPr="006F6473">
              <w:rPr>
                <w:rFonts w:ascii="Times New Roman" w:eastAsia="MS Mincho" w:hAnsi="Times New Roman"/>
                <w:sz w:val="20"/>
                <w:szCs w:val="20"/>
              </w:rPr>
              <w:t xml:space="preserve">nie jest zbyt krótki - projekt wprowadza istotne zmiany w funkcjonowaniu spółek akcyjnych i komandytowo-akcyjnych. Dostosowanie się do proponowanych rozwiązań wymagało będzie podjęcia szeregu czynności przygotowawczych, które dla wielu spółek, szczególnie tych, które nie przeprowadzały do tej pory dematerializacji akcji, będą stanowiły nowość (dokonywanie wezwań do złożenia dokumentów akcji, zawarcie umów o prowadzenie rejestru akcjonariuszy, itp.). </w:t>
            </w:r>
          </w:p>
          <w:p w:rsidR="002D7805" w:rsidRPr="006F6473" w:rsidRDefault="002D7805" w:rsidP="00ED613F">
            <w:pPr>
              <w:jc w:val="both"/>
              <w:rPr>
                <w:rFonts w:ascii="Times New Roman" w:eastAsia="MS Mincho" w:hAnsi="Times New Roman"/>
                <w:sz w:val="20"/>
                <w:szCs w:val="20"/>
              </w:rPr>
            </w:pPr>
          </w:p>
          <w:p w:rsidR="000B602B" w:rsidRPr="006F6473" w:rsidRDefault="000B602B" w:rsidP="00ED613F">
            <w:pPr>
              <w:jc w:val="both"/>
              <w:rPr>
                <w:rFonts w:ascii="Times New Roman" w:eastAsia="MS Mincho" w:hAnsi="Times New Roman"/>
                <w:sz w:val="20"/>
                <w:szCs w:val="20"/>
              </w:rPr>
            </w:pPr>
          </w:p>
          <w:p w:rsidR="002D7805" w:rsidRPr="006F6473" w:rsidRDefault="002D7805" w:rsidP="00ED613F">
            <w:pPr>
              <w:jc w:val="both"/>
              <w:rPr>
                <w:rFonts w:ascii="Times New Roman" w:eastAsia="MS Mincho" w:hAnsi="Times New Roman"/>
                <w:sz w:val="20"/>
                <w:szCs w:val="20"/>
              </w:rPr>
            </w:pPr>
          </w:p>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Należy rozważyć także, czy nie jest zbyt krótki okres ograniczonej legitymacji z dokumentu akcji, określony na trzy lata od wejścia w życie ustawy. Warto mieć tu na uwadze chociażby rozwiązania przyjęte w Belgii, gdzie proces dematerializacji i odejścia od akcji na okaziciela odbywał się stopniowo i trwał od 2008 r. do 2015 r.</w:t>
            </w:r>
          </w:p>
        </w:tc>
        <w:tc>
          <w:tcPr>
            <w:tcW w:w="5436" w:type="dxa"/>
          </w:tcPr>
          <w:p w:rsidR="00F268D4" w:rsidRPr="006F6473" w:rsidRDefault="00DD354E" w:rsidP="008E10E3">
            <w:pPr>
              <w:jc w:val="both"/>
              <w:rPr>
                <w:rFonts w:ascii="Times New Roman" w:eastAsia="MS Mincho" w:hAnsi="Times New Roman"/>
                <w:sz w:val="20"/>
                <w:szCs w:val="20"/>
              </w:rPr>
            </w:pPr>
            <w:r w:rsidRPr="006F6473">
              <w:rPr>
                <w:rFonts w:ascii="Times New Roman" w:eastAsia="MS Mincho" w:hAnsi="Times New Roman"/>
                <w:sz w:val="20"/>
                <w:szCs w:val="20"/>
              </w:rPr>
              <w:t xml:space="preserve">Uwaga została uwzględniona: </w:t>
            </w:r>
            <w:r w:rsidR="008E31CF" w:rsidRPr="006F6473">
              <w:rPr>
                <w:rFonts w:ascii="Times New Roman" w:eastAsia="MS Mincho" w:hAnsi="Times New Roman"/>
                <w:sz w:val="20"/>
                <w:szCs w:val="20"/>
              </w:rPr>
              <w:t xml:space="preserve">dotychczasowy </w:t>
            </w:r>
            <w:r w:rsidR="00AE2CD1" w:rsidRPr="006F6473">
              <w:rPr>
                <w:rFonts w:ascii="Times New Roman" w:eastAsia="MS Mincho" w:hAnsi="Times New Roman"/>
                <w:sz w:val="20"/>
                <w:szCs w:val="20"/>
              </w:rPr>
              <w:t xml:space="preserve">art. 6 </w:t>
            </w:r>
            <w:r w:rsidR="000C53B3" w:rsidRPr="006F6473">
              <w:rPr>
                <w:rFonts w:ascii="Times New Roman" w:eastAsia="MS Mincho" w:hAnsi="Times New Roman"/>
                <w:sz w:val="20"/>
                <w:szCs w:val="20"/>
              </w:rPr>
              <w:t xml:space="preserve">(art. 13 w nowej wersji projektu) </w:t>
            </w:r>
            <w:r w:rsidR="00AE2CD1" w:rsidRPr="006F6473">
              <w:rPr>
                <w:rFonts w:ascii="Times New Roman" w:eastAsia="MS Mincho" w:hAnsi="Times New Roman"/>
                <w:sz w:val="20"/>
                <w:szCs w:val="20"/>
              </w:rPr>
              <w:t xml:space="preserve">zostanie zmieniony w taki sposób, że </w:t>
            </w:r>
            <w:r w:rsidR="00F268D4" w:rsidRPr="006F6473">
              <w:rPr>
                <w:rFonts w:ascii="Times New Roman" w:eastAsia="MS Mincho" w:hAnsi="Times New Roman"/>
                <w:sz w:val="20"/>
                <w:szCs w:val="20"/>
              </w:rPr>
              <w:t>zasadniczy termin wejścia w życie ustawy zostanie określony na dzień 1 stycznia 2020 r.</w:t>
            </w:r>
            <w:r w:rsidR="00AE2CD1" w:rsidRPr="006F6473">
              <w:rPr>
                <w:rFonts w:ascii="Times New Roman" w:eastAsia="MS Mincho" w:hAnsi="Times New Roman"/>
                <w:sz w:val="20"/>
                <w:szCs w:val="20"/>
              </w:rPr>
              <w:t xml:space="preserve"> (</w:t>
            </w:r>
            <w:r w:rsidR="00782EA9" w:rsidRPr="006F6473">
              <w:rPr>
                <w:rFonts w:ascii="Times New Roman" w:eastAsia="MS Mincho" w:hAnsi="Times New Roman"/>
                <w:sz w:val="20"/>
                <w:szCs w:val="20"/>
              </w:rPr>
              <w:t>przy przyjęciu ogólnego założenia, że us</w:t>
            </w:r>
            <w:r w:rsidR="00AE2CD1" w:rsidRPr="006F6473">
              <w:rPr>
                <w:rFonts w:ascii="Times New Roman" w:eastAsia="MS Mincho" w:hAnsi="Times New Roman"/>
                <w:sz w:val="20"/>
                <w:szCs w:val="20"/>
              </w:rPr>
              <w:t>ta</w:t>
            </w:r>
            <w:r w:rsidR="00782EA9" w:rsidRPr="006F6473">
              <w:rPr>
                <w:rFonts w:ascii="Times New Roman" w:eastAsia="MS Mincho" w:hAnsi="Times New Roman"/>
                <w:sz w:val="20"/>
                <w:szCs w:val="20"/>
              </w:rPr>
              <w:t>wa zostanie uchwalona i opublikowana do końca pier</w:t>
            </w:r>
            <w:r w:rsidR="00862E89" w:rsidRPr="006F6473">
              <w:rPr>
                <w:rFonts w:ascii="Times New Roman" w:eastAsia="MS Mincho" w:hAnsi="Times New Roman"/>
                <w:sz w:val="20"/>
                <w:szCs w:val="20"/>
              </w:rPr>
              <w:t>wszego półrocza 2018 r., czyli ż</w:t>
            </w:r>
            <w:r w:rsidR="00782EA9" w:rsidRPr="006F6473">
              <w:rPr>
                <w:rFonts w:ascii="Times New Roman" w:eastAsia="MS Mincho" w:hAnsi="Times New Roman"/>
                <w:sz w:val="20"/>
                <w:szCs w:val="20"/>
              </w:rPr>
              <w:t>e vac</w:t>
            </w:r>
            <w:r w:rsidR="00862E89" w:rsidRPr="006F6473">
              <w:rPr>
                <w:rFonts w:ascii="Times New Roman" w:eastAsia="MS Mincho" w:hAnsi="Times New Roman"/>
                <w:sz w:val="20"/>
                <w:szCs w:val="20"/>
              </w:rPr>
              <w:t>a</w:t>
            </w:r>
            <w:r w:rsidR="00782EA9" w:rsidRPr="006F6473">
              <w:rPr>
                <w:rFonts w:ascii="Times New Roman" w:eastAsia="MS Mincho" w:hAnsi="Times New Roman"/>
                <w:sz w:val="20"/>
                <w:szCs w:val="20"/>
              </w:rPr>
              <w:t>tio legi</w:t>
            </w:r>
            <w:r w:rsidR="00862E89" w:rsidRPr="006F6473">
              <w:rPr>
                <w:rFonts w:ascii="Times New Roman" w:eastAsia="MS Mincho" w:hAnsi="Times New Roman"/>
                <w:sz w:val="20"/>
                <w:szCs w:val="20"/>
              </w:rPr>
              <w:t>s</w:t>
            </w:r>
            <w:r w:rsidR="00782EA9" w:rsidRPr="006F6473">
              <w:rPr>
                <w:rFonts w:ascii="Times New Roman" w:eastAsia="MS Mincho" w:hAnsi="Times New Roman"/>
                <w:sz w:val="20"/>
                <w:szCs w:val="20"/>
              </w:rPr>
              <w:t xml:space="preserve"> wyniesie ok. 18 m-</w:t>
            </w:r>
            <w:proofErr w:type="spellStart"/>
            <w:r w:rsidR="00782EA9" w:rsidRPr="006F6473">
              <w:rPr>
                <w:rFonts w:ascii="Times New Roman" w:eastAsia="MS Mincho" w:hAnsi="Times New Roman"/>
                <w:sz w:val="20"/>
                <w:szCs w:val="20"/>
              </w:rPr>
              <w:t>cy</w:t>
            </w:r>
            <w:proofErr w:type="spellEnd"/>
            <w:r w:rsidR="00782EA9" w:rsidRPr="006F6473">
              <w:rPr>
                <w:rFonts w:ascii="Times New Roman" w:eastAsia="MS Mincho" w:hAnsi="Times New Roman"/>
                <w:sz w:val="20"/>
                <w:szCs w:val="20"/>
              </w:rPr>
              <w:t xml:space="preserve">). </w:t>
            </w:r>
            <w:r w:rsidR="00862E89" w:rsidRPr="006F6473">
              <w:rPr>
                <w:rFonts w:ascii="Times New Roman" w:eastAsia="MS Mincho" w:hAnsi="Times New Roman"/>
                <w:sz w:val="20"/>
                <w:szCs w:val="20"/>
              </w:rPr>
              <w:t>Ta</w:t>
            </w:r>
            <w:r w:rsidR="00AE2CD1" w:rsidRPr="006F6473">
              <w:rPr>
                <w:rFonts w:ascii="Times New Roman" w:eastAsia="MS Mincho" w:hAnsi="Times New Roman"/>
                <w:sz w:val="20"/>
                <w:szCs w:val="20"/>
              </w:rPr>
              <w:t xml:space="preserve">kie </w:t>
            </w:r>
            <w:r w:rsidR="00AE2CD1" w:rsidRPr="006F6473">
              <w:rPr>
                <w:rFonts w:ascii="Times New Roman" w:eastAsia="MS Mincho" w:hAnsi="Times New Roman"/>
                <w:i/>
                <w:sz w:val="20"/>
                <w:szCs w:val="20"/>
              </w:rPr>
              <w:t>vacatio legis</w:t>
            </w:r>
            <w:r w:rsidR="00AE2CD1" w:rsidRPr="006F6473">
              <w:rPr>
                <w:rFonts w:ascii="Times New Roman" w:eastAsia="MS Mincho" w:hAnsi="Times New Roman"/>
                <w:sz w:val="20"/>
                <w:szCs w:val="20"/>
              </w:rPr>
              <w:t xml:space="preserve"> należy</w:t>
            </w:r>
            <w:r w:rsidR="008B299C" w:rsidRPr="006F6473">
              <w:rPr>
                <w:rFonts w:ascii="Times New Roman" w:eastAsia="MS Mincho" w:hAnsi="Times New Roman"/>
                <w:sz w:val="20"/>
                <w:szCs w:val="20"/>
              </w:rPr>
              <w:t xml:space="preserve"> uznać za wystraczające</w:t>
            </w:r>
            <w:r w:rsidR="00AE2CD1" w:rsidRPr="006F6473">
              <w:rPr>
                <w:rFonts w:ascii="Times New Roman" w:eastAsia="MS Mincho" w:hAnsi="Times New Roman"/>
                <w:sz w:val="20"/>
                <w:szCs w:val="20"/>
              </w:rPr>
              <w:t xml:space="preserve">, zważywszy, </w:t>
            </w:r>
            <w:r w:rsidR="008819B3" w:rsidRPr="006F6473">
              <w:rPr>
                <w:rFonts w:ascii="Times New Roman" w:eastAsia="MS Mincho" w:hAnsi="Times New Roman"/>
                <w:sz w:val="20"/>
                <w:szCs w:val="20"/>
              </w:rPr>
              <w:t>że</w:t>
            </w:r>
            <w:r w:rsidR="00AE2CD1" w:rsidRPr="006F6473">
              <w:rPr>
                <w:rFonts w:ascii="Times New Roman" w:eastAsia="MS Mincho" w:hAnsi="Times New Roman"/>
                <w:sz w:val="20"/>
                <w:szCs w:val="20"/>
              </w:rPr>
              <w:t xml:space="preserve"> proces</w:t>
            </w:r>
            <w:r w:rsidR="008819B3" w:rsidRPr="006F6473">
              <w:rPr>
                <w:rFonts w:ascii="Times New Roman" w:eastAsia="MS Mincho" w:hAnsi="Times New Roman"/>
                <w:sz w:val="20"/>
                <w:szCs w:val="20"/>
              </w:rPr>
              <w:t xml:space="preserve"> dematerializacji będzie prowadzony z udziałem podmiotów kwalifikowanych, które maj</w:t>
            </w:r>
            <w:r w:rsidR="008B299C" w:rsidRPr="006F6473">
              <w:rPr>
                <w:rFonts w:ascii="Times New Roman" w:eastAsia="MS Mincho" w:hAnsi="Times New Roman"/>
                <w:sz w:val="20"/>
                <w:szCs w:val="20"/>
              </w:rPr>
              <w:t>ą</w:t>
            </w:r>
            <w:r w:rsidR="008819B3" w:rsidRPr="006F6473">
              <w:rPr>
                <w:rFonts w:ascii="Times New Roman" w:eastAsia="MS Mincho" w:hAnsi="Times New Roman"/>
                <w:sz w:val="20"/>
                <w:szCs w:val="20"/>
              </w:rPr>
              <w:t xml:space="preserve"> już </w:t>
            </w:r>
            <w:r w:rsidR="008E10E3" w:rsidRPr="006F6473">
              <w:rPr>
                <w:rFonts w:ascii="Times New Roman" w:eastAsia="MS Mincho" w:hAnsi="Times New Roman"/>
                <w:sz w:val="20"/>
                <w:szCs w:val="20"/>
              </w:rPr>
              <w:t>odpowiednie doświadczenie z dematerializacją akcji w spółkach publicznych).</w:t>
            </w:r>
          </w:p>
          <w:p w:rsidR="00EE26CB" w:rsidRPr="006F6473" w:rsidRDefault="00EE26CB" w:rsidP="00ED613F">
            <w:pPr>
              <w:spacing w:line="276" w:lineRule="auto"/>
              <w:rPr>
                <w:rFonts w:ascii="Times New Roman" w:eastAsia="MS Mincho" w:hAnsi="Times New Roman"/>
                <w:sz w:val="20"/>
                <w:szCs w:val="20"/>
              </w:rPr>
            </w:pPr>
          </w:p>
          <w:p w:rsidR="00A23398" w:rsidRPr="006F6473" w:rsidRDefault="00A23398" w:rsidP="00940F33">
            <w:pPr>
              <w:jc w:val="both"/>
              <w:rPr>
                <w:rFonts w:ascii="Times New Roman" w:eastAsia="MS Mincho" w:hAnsi="Times New Roman"/>
                <w:sz w:val="20"/>
                <w:szCs w:val="20"/>
              </w:rPr>
            </w:pPr>
            <w:r w:rsidRPr="006F6473">
              <w:rPr>
                <w:rFonts w:ascii="Times New Roman" w:eastAsia="MS Mincho" w:hAnsi="Times New Roman"/>
                <w:sz w:val="20"/>
                <w:szCs w:val="20"/>
              </w:rPr>
              <w:t xml:space="preserve">Uwaga została uwzględniona: okres 3 lat przewidziany w </w:t>
            </w:r>
            <w:r w:rsidR="008E31CF" w:rsidRPr="006F6473">
              <w:rPr>
                <w:rFonts w:ascii="Times New Roman" w:eastAsia="MS Mincho" w:hAnsi="Times New Roman"/>
                <w:sz w:val="20"/>
                <w:szCs w:val="20"/>
              </w:rPr>
              <w:t xml:space="preserve">dotychczasowym </w:t>
            </w:r>
            <w:r w:rsidRPr="006F6473">
              <w:rPr>
                <w:rFonts w:ascii="Times New Roman" w:eastAsia="MS Mincho" w:hAnsi="Times New Roman"/>
                <w:sz w:val="20"/>
                <w:szCs w:val="20"/>
              </w:rPr>
              <w:t>art. 3 ust.</w:t>
            </w:r>
            <w:r w:rsidR="000B602B" w:rsidRPr="006F6473">
              <w:rPr>
                <w:rFonts w:ascii="Times New Roman" w:eastAsia="MS Mincho" w:hAnsi="Times New Roman"/>
                <w:sz w:val="20"/>
                <w:szCs w:val="20"/>
              </w:rPr>
              <w:t xml:space="preserve"> </w:t>
            </w:r>
            <w:r w:rsidRPr="006F6473">
              <w:rPr>
                <w:rFonts w:ascii="Times New Roman" w:eastAsia="MS Mincho" w:hAnsi="Times New Roman"/>
                <w:sz w:val="20"/>
                <w:szCs w:val="20"/>
              </w:rPr>
              <w:t xml:space="preserve">2 </w:t>
            </w:r>
            <w:r w:rsidR="00940F33" w:rsidRPr="006F6473">
              <w:rPr>
                <w:rFonts w:ascii="Times New Roman" w:eastAsia="MS Mincho" w:hAnsi="Times New Roman"/>
                <w:sz w:val="20"/>
                <w:szCs w:val="20"/>
              </w:rPr>
              <w:t xml:space="preserve"> projektu (art. 7 ust. 2 w nowej wersji projektu) </w:t>
            </w:r>
            <w:r w:rsidRPr="006F6473">
              <w:rPr>
                <w:rFonts w:ascii="Times New Roman" w:eastAsia="MS Mincho" w:hAnsi="Times New Roman"/>
                <w:sz w:val="20"/>
                <w:szCs w:val="20"/>
              </w:rPr>
              <w:t>zostanie wydłużony do 5 lat.</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37.</w:t>
            </w:r>
          </w:p>
        </w:tc>
        <w:tc>
          <w:tcPr>
            <w:tcW w:w="2127" w:type="dxa"/>
            <w:vMerge/>
          </w:tcPr>
          <w:p w:rsidR="00FF491E" w:rsidRPr="00ED613F" w:rsidRDefault="00FF491E" w:rsidP="00ED613F">
            <w:pPr>
              <w:jc w:val="center"/>
              <w:rPr>
                <w:rFonts w:ascii="Times New Roman" w:eastAsia="MS Mincho" w:hAnsi="Times New Roman"/>
                <w:b/>
                <w:sz w:val="20"/>
                <w:szCs w:val="20"/>
              </w:rPr>
            </w:pPr>
          </w:p>
        </w:tc>
        <w:tc>
          <w:tcPr>
            <w:tcW w:w="1291"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RCL</w:t>
            </w:r>
          </w:p>
        </w:tc>
        <w:tc>
          <w:tcPr>
            <w:tcW w:w="6041" w:type="dxa"/>
          </w:tcPr>
          <w:p w:rsidR="00FF491E" w:rsidRPr="006F6473" w:rsidRDefault="00FF491E" w:rsidP="00ED613F">
            <w:pPr>
              <w:jc w:val="both"/>
              <w:rPr>
                <w:rFonts w:ascii="Times New Roman" w:eastAsia="MS Mincho" w:hAnsi="Times New Roman"/>
                <w:sz w:val="20"/>
                <w:szCs w:val="20"/>
              </w:rPr>
            </w:pPr>
            <w:r w:rsidRPr="006F6473">
              <w:rPr>
                <w:rFonts w:ascii="Times New Roman" w:eastAsia="MS Mincho" w:hAnsi="Times New Roman"/>
                <w:sz w:val="20"/>
                <w:szCs w:val="20"/>
              </w:rPr>
              <w:t>Na szczególną uwagę zasługuje fakt, że zgodnie z projektowanym art. 6 przepisy proceduralne dotyczące rejestru akcjonariuszy (art. 328</w:t>
            </w:r>
            <w:r w:rsidRPr="006F6473">
              <w:rPr>
                <w:rFonts w:ascii="Times New Roman" w:eastAsia="MS Mincho" w:hAnsi="Times New Roman"/>
                <w:sz w:val="20"/>
                <w:szCs w:val="20"/>
                <w:vertAlign w:val="superscript"/>
              </w:rPr>
              <w:t>1</w:t>
            </w:r>
            <w:r w:rsidRPr="006F6473">
              <w:rPr>
                <w:rFonts w:ascii="Times New Roman" w:eastAsia="MS Mincho" w:hAnsi="Times New Roman"/>
                <w:sz w:val="20"/>
                <w:szCs w:val="20"/>
              </w:rPr>
              <w:t xml:space="preserve"> § 2 i 3, art. 328</w:t>
            </w:r>
            <w:r w:rsidRPr="006F6473">
              <w:rPr>
                <w:rFonts w:ascii="Times New Roman" w:eastAsia="MS Mincho" w:hAnsi="Times New Roman"/>
                <w:sz w:val="20"/>
                <w:szCs w:val="20"/>
                <w:vertAlign w:val="superscript"/>
              </w:rPr>
              <w:t>2</w:t>
            </w:r>
            <w:r w:rsidRPr="006F6473">
              <w:rPr>
                <w:rFonts w:ascii="Times New Roman" w:eastAsia="MS Mincho" w:hAnsi="Times New Roman"/>
                <w:sz w:val="20"/>
                <w:szCs w:val="20"/>
              </w:rPr>
              <w:t xml:space="preserve"> § 1 i art. 328</w:t>
            </w:r>
            <w:r w:rsidRPr="006F6473">
              <w:rPr>
                <w:rFonts w:ascii="Times New Roman" w:eastAsia="MS Mincho" w:hAnsi="Times New Roman"/>
                <w:sz w:val="20"/>
                <w:szCs w:val="20"/>
                <w:vertAlign w:val="superscript"/>
              </w:rPr>
              <w:t xml:space="preserve">3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czy też określające regułę, zgodnie z którą akcje tej samej spółki nie mogą być jednocześnie zarejestrowane w rejestrze akcjonariuszy i w depozycie papierów wartościowych, zarówno w odniesieniu do spółki publicznej, jak i niepublicznej (art. 328</w:t>
            </w:r>
            <w:r w:rsidRPr="006F6473">
              <w:rPr>
                <w:rFonts w:ascii="Times New Roman" w:eastAsia="MS Mincho" w:hAnsi="Times New Roman"/>
                <w:sz w:val="20"/>
                <w:szCs w:val="20"/>
                <w:vertAlign w:val="superscript"/>
              </w:rPr>
              <w:t xml:space="preserve"> 12</w:t>
            </w:r>
            <w:r w:rsidRPr="006F6473">
              <w:rPr>
                <w:rFonts w:ascii="Times New Roman" w:eastAsia="MS Mincho" w:hAnsi="Times New Roman"/>
                <w:sz w:val="20"/>
                <w:szCs w:val="20"/>
              </w:rPr>
              <w:t xml:space="preserve">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xml:space="preserve">.), mają wejść w życie z dniem następującym po dniu ogłoszenia, podczas gdy przepis materialny wprowadzający do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xml:space="preserve">. akcje zdematerializowane (art. 328 § 1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xml:space="preserve">.) oraz przepis stanowiący, że akcje te podlegają zarejestrowaniu w rejestrze akcjonariuszy (art. </w:t>
            </w:r>
            <w:r w:rsidRPr="006F6473">
              <w:rPr>
                <w:rFonts w:ascii="Times New Roman" w:eastAsia="MS Mincho" w:hAnsi="Times New Roman"/>
                <w:sz w:val="20"/>
                <w:szCs w:val="20"/>
              </w:rPr>
              <w:lastRenderedPageBreak/>
              <w:t>328</w:t>
            </w:r>
            <w:r w:rsidRPr="006F6473">
              <w:rPr>
                <w:rFonts w:ascii="Times New Roman" w:eastAsia="MS Mincho" w:hAnsi="Times New Roman"/>
                <w:sz w:val="20"/>
                <w:szCs w:val="20"/>
                <w:vertAlign w:val="superscript"/>
              </w:rPr>
              <w:t>1</w:t>
            </w:r>
            <w:r w:rsidRPr="006F6473">
              <w:rPr>
                <w:rFonts w:ascii="Times New Roman" w:eastAsia="MS Mincho" w:hAnsi="Times New Roman"/>
                <w:sz w:val="20"/>
                <w:szCs w:val="20"/>
              </w:rPr>
              <w:t xml:space="preserve"> § 1 </w:t>
            </w:r>
            <w:proofErr w:type="spellStart"/>
            <w:r w:rsidRPr="006F6473">
              <w:rPr>
                <w:rFonts w:ascii="Times New Roman" w:eastAsia="MS Mincho" w:hAnsi="Times New Roman"/>
                <w:sz w:val="20"/>
                <w:szCs w:val="20"/>
              </w:rPr>
              <w:t>K.s.h</w:t>
            </w:r>
            <w:proofErr w:type="spellEnd"/>
            <w:r w:rsidRPr="006F6473">
              <w:rPr>
                <w:rFonts w:ascii="Times New Roman" w:eastAsia="MS Mincho" w:hAnsi="Times New Roman"/>
                <w:sz w:val="20"/>
                <w:szCs w:val="20"/>
              </w:rPr>
              <w:t>.) mają wejść w życie dopiero z dniem 1 lipca 2018 r. W konsekwencji art. 6 projektu wymaga dodatkowej analizy w zakresie zasadności zróżnicowania terminów wejścia w życie niektórych z projektowanych norm.</w:t>
            </w:r>
          </w:p>
        </w:tc>
        <w:tc>
          <w:tcPr>
            <w:tcW w:w="5436" w:type="dxa"/>
          </w:tcPr>
          <w:p w:rsidR="00FF491E" w:rsidRPr="006F6473" w:rsidRDefault="002A4AFC" w:rsidP="006F1EFF">
            <w:pPr>
              <w:jc w:val="both"/>
              <w:rPr>
                <w:rFonts w:ascii="Times New Roman" w:eastAsia="MS Mincho" w:hAnsi="Times New Roman"/>
                <w:sz w:val="20"/>
                <w:szCs w:val="20"/>
              </w:rPr>
            </w:pPr>
            <w:r w:rsidRPr="006F6473">
              <w:rPr>
                <w:rFonts w:ascii="Times New Roman" w:eastAsia="MS Mincho" w:hAnsi="Times New Roman"/>
                <w:sz w:val="20"/>
                <w:szCs w:val="20"/>
              </w:rPr>
              <w:lastRenderedPageBreak/>
              <w:t xml:space="preserve">Uwaga została co do zasady uwzględniona: przepis </w:t>
            </w:r>
            <w:r w:rsidR="006F1EFF" w:rsidRPr="006F6473">
              <w:rPr>
                <w:rFonts w:ascii="Times New Roman" w:eastAsia="MS Mincho" w:hAnsi="Times New Roman"/>
                <w:sz w:val="20"/>
                <w:szCs w:val="20"/>
              </w:rPr>
              <w:t xml:space="preserve">dotychczasowego </w:t>
            </w:r>
            <w:r w:rsidRPr="006F6473">
              <w:rPr>
                <w:rFonts w:ascii="Times New Roman" w:eastAsia="MS Mincho" w:hAnsi="Times New Roman"/>
                <w:sz w:val="20"/>
                <w:szCs w:val="20"/>
              </w:rPr>
              <w:t xml:space="preserve">art. 6 </w:t>
            </w:r>
            <w:r w:rsidR="00940F33" w:rsidRPr="006F6473">
              <w:rPr>
                <w:rFonts w:ascii="Times New Roman" w:eastAsia="MS Mincho" w:hAnsi="Times New Roman"/>
                <w:sz w:val="20"/>
                <w:szCs w:val="20"/>
              </w:rPr>
              <w:t>(art.</w:t>
            </w:r>
            <w:r w:rsidR="00A423A7" w:rsidRPr="006F6473">
              <w:rPr>
                <w:rFonts w:ascii="Times New Roman" w:eastAsia="MS Mincho" w:hAnsi="Times New Roman"/>
                <w:sz w:val="20"/>
                <w:szCs w:val="20"/>
              </w:rPr>
              <w:t xml:space="preserve"> </w:t>
            </w:r>
            <w:r w:rsidR="00940F33" w:rsidRPr="006F6473">
              <w:rPr>
                <w:rFonts w:ascii="Times New Roman" w:eastAsia="MS Mincho" w:hAnsi="Times New Roman"/>
                <w:sz w:val="20"/>
                <w:szCs w:val="20"/>
              </w:rPr>
              <w:t xml:space="preserve">13 w nowej wersji projektu) </w:t>
            </w:r>
            <w:r w:rsidRPr="006F6473">
              <w:rPr>
                <w:rFonts w:ascii="Times New Roman" w:eastAsia="MS Mincho" w:hAnsi="Times New Roman"/>
                <w:sz w:val="20"/>
                <w:szCs w:val="20"/>
              </w:rPr>
              <w:t>zostanie odpowiednio skorygowany</w:t>
            </w:r>
            <w:r w:rsidR="00B21483" w:rsidRPr="006F6473">
              <w:rPr>
                <w:rFonts w:ascii="Times New Roman" w:eastAsia="MS Mincho" w:hAnsi="Times New Roman"/>
                <w:sz w:val="20"/>
                <w:szCs w:val="20"/>
              </w:rPr>
              <w:t xml:space="preserve">. Wcześniejsza data wejścia </w:t>
            </w:r>
            <w:r w:rsidR="00536EEC" w:rsidRPr="006F6473">
              <w:rPr>
                <w:rFonts w:ascii="Times New Roman" w:eastAsia="MS Mincho" w:hAnsi="Times New Roman"/>
                <w:sz w:val="20"/>
                <w:szCs w:val="20"/>
              </w:rPr>
              <w:t>w życie dotyczyć będzie tych przepisów</w:t>
            </w:r>
            <w:r w:rsidR="00C343C0" w:rsidRPr="006F6473">
              <w:rPr>
                <w:rFonts w:ascii="Times New Roman" w:eastAsia="MS Mincho" w:hAnsi="Times New Roman"/>
                <w:sz w:val="20"/>
                <w:szCs w:val="20"/>
              </w:rPr>
              <w:t xml:space="preserve"> projektowanej ustawy</w:t>
            </w:r>
            <w:r w:rsidR="00536EEC" w:rsidRPr="006F6473">
              <w:rPr>
                <w:rFonts w:ascii="Times New Roman" w:eastAsia="MS Mincho" w:hAnsi="Times New Roman"/>
                <w:sz w:val="20"/>
                <w:szCs w:val="20"/>
              </w:rPr>
              <w:t xml:space="preserve">, </w:t>
            </w:r>
            <w:r w:rsidR="00C343C0" w:rsidRPr="006F6473">
              <w:rPr>
                <w:rFonts w:ascii="Times New Roman" w:eastAsia="MS Mincho" w:hAnsi="Times New Roman"/>
                <w:sz w:val="20"/>
                <w:szCs w:val="20"/>
              </w:rPr>
              <w:t xml:space="preserve">które nakładają na spółki obowiązek podjęcia określonych działań w okresie przejściowym oraz </w:t>
            </w:r>
            <w:r w:rsidR="00965618" w:rsidRPr="006F6473">
              <w:rPr>
                <w:rFonts w:ascii="Times New Roman" w:eastAsia="MS Mincho" w:hAnsi="Times New Roman"/>
                <w:sz w:val="20"/>
                <w:szCs w:val="20"/>
              </w:rPr>
              <w:t xml:space="preserve">tylko </w:t>
            </w:r>
            <w:r w:rsidR="00C343C0" w:rsidRPr="006F6473">
              <w:rPr>
                <w:rFonts w:ascii="Times New Roman" w:eastAsia="MS Mincho" w:hAnsi="Times New Roman"/>
                <w:sz w:val="20"/>
                <w:szCs w:val="20"/>
              </w:rPr>
              <w:t>tych (nielicznych) do</w:t>
            </w:r>
            <w:r w:rsidR="00C07A70" w:rsidRPr="006F6473">
              <w:rPr>
                <w:rFonts w:ascii="Times New Roman" w:eastAsia="MS Mincho" w:hAnsi="Times New Roman"/>
                <w:sz w:val="20"/>
                <w:szCs w:val="20"/>
              </w:rPr>
              <w:t xml:space="preserve">dawanych </w:t>
            </w:r>
            <w:r w:rsidR="006E6154" w:rsidRPr="006F6473">
              <w:rPr>
                <w:rFonts w:ascii="Times New Roman" w:eastAsia="MS Mincho" w:hAnsi="Times New Roman"/>
                <w:sz w:val="20"/>
                <w:szCs w:val="20"/>
              </w:rPr>
              <w:t xml:space="preserve">/ zmienianych </w:t>
            </w:r>
            <w:r w:rsidR="00C07A70" w:rsidRPr="006F6473">
              <w:rPr>
                <w:rFonts w:ascii="Times New Roman" w:eastAsia="MS Mincho" w:hAnsi="Times New Roman"/>
                <w:sz w:val="20"/>
                <w:szCs w:val="20"/>
              </w:rPr>
              <w:t xml:space="preserve">przepisów </w:t>
            </w:r>
            <w:proofErr w:type="spellStart"/>
            <w:r w:rsidR="00C07A70" w:rsidRPr="006F6473">
              <w:rPr>
                <w:rFonts w:ascii="Times New Roman" w:eastAsia="MS Mincho" w:hAnsi="Times New Roman"/>
                <w:sz w:val="20"/>
                <w:szCs w:val="20"/>
              </w:rPr>
              <w:t>k.s.h</w:t>
            </w:r>
            <w:proofErr w:type="spellEnd"/>
            <w:r w:rsidR="00C07A70" w:rsidRPr="006F6473">
              <w:rPr>
                <w:rFonts w:ascii="Times New Roman" w:eastAsia="MS Mincho" w:hAnsi="Times New Roman"/>
                <w:sz w:val="20"/>
                <w:szCs w:val="20"/>
              </w:rPr>
              <w:t xml:space="preserve">., </w:t>
            </w:r>
            <w:r w:rsidR="006E6154" w:rsidRPr="006F6473">
              <w:rPr>
                <w:rFonts w:ascii="Times New Roman" w:eastAsia="MS Mincho" w:hAnsi="Times New Roman"/>
                <w:sz w:val="20"/>
                <w:szCs w:val="20"/>
              </w:rPr>
              <w:t xml:space="preserve">bez których </w:t>
            </w:r>
            <w:r w:rsidR="00AE0E80" w:rsidRPr="006F6473">
              <w:rPr>
                <w:rFonts w:ascii="Times New Roman" w:eastAsia="MS Mincho" w:hAnsi="Times New Roman"/>
                <w:sz w:val="20"/>
                <w:szCs w:val="20"/>
              </w:rPr>
              <w:t xml:space="preserve">właściwa </w:t>
            </w:r>
            <w:r w:rsidR="006E6154" w:rsidRPr="006F6473">
              <w:rPr>
                <w:rFonts w:ascii="Times New Roman" w:eastAsia="MS Mincho" w:hAnsi="Times New Roman"/>
                <w:sz w:val="20"/>
                <w:szCs w:val="20"/>
              </w:rPr>
              <w:t xml:space="preserve">realizacja tego obowiązku </w:t>
            </w:r>
            <w:r w:rsidR="00AE0E80" w:rsidRPr="006F6473">
              <w:rPr>
                <w:rFonts w:ascii="Times New Roman" w:eastAsia="MS Mincho" w:hAnsi="Times New Roman"/>
                <w:sz w:val="20"/>
                <w:szCs w:val="20"/>
              </w:rPr>
              <w:t xml:space="preserve">nie </w:t>
            </w:r>
            <w:r w:rsidR="00462F1B" w:rsidRPr="006F6473">
              <w:rPr>
                <w:rFonts w:ascii="Times New Roman" w:eastAsia="MS Mincho" w:hAnsi="Times New Roman"/>
                <w:sz w:val="20"/>
                <w:szCs w:val="20"/>
              </w:rPr>
              <w:t xml:space="preserve">byłaby </w:t>
            </w:r>
            <w:r w:rsidR="006E6154" w:rsidRPr="006F6473">
              <w:rPr>
                <w:rFonts w:ascii="Times New Roman" w:eastAsia="MS Mincho" w:hAnsi="Times New Roman"/>
                <w:sz w:val="20"/>
                <w:szCs w:val="20"/>
              </w:rPr>
              <w:t>możliwa</w:t>
            </w:r>
            <w:r w:rsidR="00AE0E80" w:rsidRPr="006F6473">
              <w:rPr>
                <w:rFonts w:ascii="Times New Roman" w:eastAsia="MS Mincho" w:hAnsi="Times New Roman"/>
                <w:sz w:val="20"/>
                <w:szCs w:val="20"/>
              </w:rPr>
              <w:t xml:space="preserve"> (przepisy dot. obowiązku prowadzenia strony internetowej</w:t>
            </w:r>
            <w:r w:rsidR="00A034AE" w:rsidRPr="006F6473">
              <w:rPr>
                <w:rFonts w:ascii="Times New Roman" w:eastAsia="MS Mincho" w:hAnsi="Times New Roman"/>
                <w:sz w:val="20"/>
                <w:szCs w:val="20"/>
              </w:rPr>
              <w:t xml:space="preserve"> prze</w:t>
            </w:r>
            <w:r w:rsidR="00403BC0" w:rsidRPr="006F6473">
              <w:rPr>
                <w:rFonts w:ascii="Times New Roman" w:eastAsia="MS Mincho" w:hAnsi="Times New Roman"/>
                <w:sz w:val="20"/>
                <w:szCs w:val="20"/>
              </w:rPr>
              <w:t>z</w:t>
            </w:r>
            <w:r w:rsidR="00A034AE" w:rsidRPr="006F6473">
              <w:rPr>
                <w:rFonts w:ascii="Times New Roman" w:eastAsia="MS Mincho" w:hAnsi="Times New Roman"/>
                <w:sz w:val="20"/>
                <w:szCs w:val="20"/>
              </w:rPr>
              <w:t xml:space="preserve"> spółkę</w:t>
            </w:r>
            <w:r w:rsidR="00965618" w:rsidRPr="006F6473">
              <w:rPr>
                <w:rFonts w:ascii="Times New Roman" w:eastAsia="MS Mincho" w:hAnsi="Times New Roman"/>
                <w:sz w:val="20"/>
                <w:szCs w:val="20"/>
              </w:rPr>
              <w:t xml:space="preserve">). </w:t>
            </w:r>
            <w:r w:rsidR="004C4381" w:rsidRPr="006F6473">
              <w:rPr>
                <w:rFonts w:ascii="Times New Roman" w:eastAsia="MS Mincho" w:hAnsi="Times New Roman"/>
                <w:sz w:val="20"/>
                <w:szCs w:val="20"/>
              </w:rPr>
              <w:t>Cel, któremu pierwotnie służyła propozycja</w:t>
            </w:r>
            <w:r w:rsidR="00D00163" w:rsidRPr="006F6473">
              <w:rPr>
                <w:rFonts w:ascii="Times New Roman" w:eastAsia="MS Mincho" w:hAnsi="Times New Roman"/>
                <w:sz w:val="20"/>
                <w:szCs w:val="20"/>
              </w:rPr>
              <w:t xml:space="preserve"> </w:t>
            </w:r>
            <w:r w:rsidR="00D00163" w:rsidRPr="006F6473">
              <w:rPr>
                <w:rFonts w:ascii="Times New Roman" w:eastAsia="MS Mincho" w:hAnsi="Times New Roman"/>
                <w:sz w:val="20"/>
                <w:szCs w:val="20"/>
              </w:rPr>
              <w:lastRenderedPageBreak/>
              <w:t>wcześniejsze</w:t>
            </w:r>
            <w:r w:rsidR="004C4381" w:rsidRPr="006F6473">
              <w:rPr>
                <w:rFonts w:ascii="Times New Roman" w:eastAsia="MS Mincho" w:hAnsi="Times New Roman"/>
                <w:sz w:val="20"/>
                <w:szCs w:val="20"/>
              </w:rPr>
              <w:t>go</w:t>
            </w:r>
            <w:r w:rsidR="00D00163" w:rsidRPr="006F6473">
              <w:rPr>
                <w:rFonts w:ascii="Times New Roman" w:eastAsia="MS Mincho" w:hAnsi="Times New Roman"/>
                <w:sz w:val="20"/>
                <w:szCs w:val="20"/>
              </w:rPr>
              <w:t xml:space="preserve"> </w:t>
            </w:r>
            <w:r w:rsidR="00462F1B" w:rsidRPr="006F6473">
              <w:rPr>
                <w:rFonts w:ascii="Times New Roman" w:eastAsia="MS Mincho" w:hAnsi="Times New Roman"/>
                <w:sz w:val="20"/>
                <w:szCs w:val="20"/>
              </w:rPr>
              <w:t>wejścia</w:t>
            </w:r>
            <w:r w:rsidR="00D00163" w:rsidRPr="006F6473">
              <w:rPr>
                <w:rFonts w:ascii="Times New Roman" w:eastAsia="MS Mincho" w:hAnsi="Times New Roman"/>
                <w:sz w:val="20"/>
                <w:szCs w:val="20"/>
              </w:rPr>
              <w:t xml:space="preserve"> w życie jeszcze innych dodawanych przepisów </w:t>
            </w:r>
            <w:proofErr w:type="spellStart"/>
            <w:r w:rsidR="00D00163" w:rsidRPr="006F6473">
              <w:rPr>
                <w:rFonts w:ascii="Times New Roman" w:eastAsia="MS Mincho" w:hAnsi="Times New Roman"/>
                <w:sz w:val="20"/>
                <w:szCs w:val="20"/>
              </w:rPr>
              <w:t>k.s.h</w:t>
            </w:r>
            <w:proofErr w:type="spellEnd"/>
            <w:r w:rsidR="00D00163" w:rsidRPr="006F6473">
              <w:rPr>
                <w:rFonts w:ascii="Times New Roman" w:eastAsia="MS Mincho" w:hAnsi="Times New Roman"/>
                <w:sz w:val="20"/>
                <w:szCs w:val="20"/>
              </w:rPr>
              <w:t>.</w:t>
            </w:r>
            <w:r w:rsidR="004C4381" w:rsidRPr="006F6473">
              <w:rPr>
                <w:rFonts w:ascii="Times New Roman" w:eastAsia="MS Mincho" w:hAnsi="Times New Roman"/>
                <w:sz w:val="20"/>
                <w:szCs w:val="20"/>
              </w:rPr>
              <w:t>,</w:t>
            </w:r>
            <w:r w:rsidR="00D00163" w:rsidRPr="006F6473">
              <w:rPr>
                <w:rFonts w:ascii="Times New Roman" w:eastAsia="MS Mincho" w:hAnsi="Times New Roman"/>
                <w:sz w:val="20"/>
                <w:szCs w:val="20"/>
              </w:rPr>
              <w:t xml:space="preserve"> zostanie osiągnięty prze</w:t>
            </w:r>
            <w:r w:rsidR="004C4381" w:rsidRPr="006F6473">
              <w:rPr>
                <w:rFonts w:ascii="Times New Roman" w:eastAsia="MS Mincho" w:hAnsi="Times New Roman"/>
                <w:sz w:val="20"/>
                <w:szCs w:val="20"/>
              </w:rPr>
              <w:t>z odpowiednie</w:t>
            </w:r>
            <w:r w:rsidR="00D00163" w:rsidRPr="006F6473">
              <w:rPr>
                <w:rFonts w:ascii="Times New Roman" w:eastAsia="MS Mincho" w:hAnsi="Times New Roman"/>
                <w:sz w:val="20"/>
                <w:szCs w:val="20"/>
              </w:rPr>
              <w:t xml:space="preserve"> rozbudowanie (uszczegółowieni</w:t>
            </w:r>
            <w:r w:rsidR="004C4381" w:rsidRPr="006F6473">
              <w:rPr>
                <w:rFonts w:ascii="Times New Roman" w:eastAsia="MS Mincho" w:hAnsi="Times New Roman"/>
                <w:sz w:val="20"/>
                <w:szCs w:val="20"/>
              </w:rPr>
              <w:t>e)</w:t>
            </w:r>
            <w:r w:rsidR="00D00163" w:rsidRPr="006F6473">
              <w:rPr>
                <w:rFonts w:ascii="Times New Roman" w:eastAsia="MS Mincho" w:hAnsi="Times New Roman"/>
                <w:sz w:val="20"/>
                <w:szCs w:val="20"/>
              </w:rPr>
              <w:t xml:space="preserve"> </w:t>
            </w:r>
            <w:r w:rsidR="004C4381" w:rsidRPr="006F6473">
              <w:rPr>
                <w:rFonts w:ascii="Times New Roman" w:eastAsia="MS Mincho" w:hAnsi="Times New Roman"/>
                <w:sz w:val="20"/>
                <w:szCs w:val="20"/>
              </w:rPr>
              <w:t>przepisów przejściowych</w:t>
            </w:r>
            <w:r w:rsidR="00462F1B" w:rsidRPr="006F6473">
              <w:rPr>
                <w:rFonts w:ascii="Times New Roman" w:eastAsia="MS Mincho" w:hAnsi="Times New Roman"/>
                <w:sz w:val="20"/>
                <w:szCs w:val="20"/>
              </w:rPr>
              <w:t>.</w:t>
            </w:r>
          </w:p>
        </w:tc>
      </w:tr>
      <w:tr w:rsidR="00FF491E" w:rsidRPr="00ED613F" w:rsidTr="00ED613F">
        <w:tc>
          <w:tcPr>
            <w:tcW w:w="15467" w:type="dxa"/>
            <w:gridSpan w:val="5"/>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lastRenderedPageBreak/>
              <w:t>III. UWAGI DO UZASADNIENIA</w:t>
            </w:r>
          </w:p>
        </w:tc>
      </w:tr>
      <w:tr w:rsidR="00FF491E" w:rsidRPr="00ED613F" w:rsidTr="00ED613F">
        <w:tc>
          <w:tcPr>
            <w:tcW w:w="572" w:type="dxa"/>
          </w:tcPr>
          <w:p w:rsidR="00FF491E" w:rsidRPr="00ED613F" w:rsidRDefault="00FF491E" w:rsidP="00ED613F">
            <w:pPr>
              <w:spacing w:before="200" w:after="200" w:line="276" w:lineRule="auto"/>
              <w:rPr>
                <w:rFonts w:ascii="Times New Roman" w:eastAsia="MS Mincho" w:hAnsi="Times New Roman"/>
                <w:sz w:val="20"/>
                <w:szCs w:val="20"/>
              </w:rPr>
            </w:pPr>
            <w:r w:rsidRPr="00ED613F">
              <w:rPr>
                <w:rFonts w:ascii="Times New Roman" w:eastAsia="MS Mincho" w:hAnsi="Times New Roman"/>
                <w:sz w:val="20"/>
                <w:szCs w:val="20"/>
              </w:rPr>
              <w:t>38.</w:t>
            </w:r>
          </w:p>
        </w:tc>
        <w:tc>
          <w:tcPr>
            <w:tcW w:w="2127" w:type="dxa"/>
          </w:tcPr>
          <w:p w:rsidR="00FF491E" w:rsidRPr="00ED613F" w:rsidRDefault="00FF491E" w:rsidP="00ED613F">
            <w:pPr>
              <w:spacing w:before="200" w:after="200" w:line="276" w:lineRule="auto"/>
              <w:jc w:val="center"/>
              <w:rPr>
                <w:rFonts w:ascii="Times New Roman" w:eastAsia="MS Mincho" w:hAnsi="Times New Roman"/>
                <w:b/>
                <w:sz w:val="20"/>
                <w:szCs w:val="20"/>
              </w:rPr>
            </w:pPr>
          </w:p>
        </w:tc>
        <w:tc>
          <w:tcPr>
            <w:tcW w:w="1291" w:type="dxa"/>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MF</w:t>
            </w:r>
          </w:p>
        </w:tc>
        <w:tc>
          <w:tcPr>
            <w:tcW w:w="6041" w:type="dxa"/>
          </w:tcPr>
          <w:p w:rsidR="00FF491E" w:rsidRPr="00ED613F" w:rsidRDefault="00FF491E" w:rsidP="00ED613F">
            <w:pPr>
              <w:spacing w:before="200" w:after="200"/>
              <w:jc w:val="both"/>
              <w:rPr>
                <w:rFonts w:ascii="Times New Roman" w:eastAsia="MS Mincho" w:hAnsi="Times New Roman"/>
                <w:sz w:val="20"/>
                <w:szCs w:val="20"/>
              </w:rPr>
            </w:pPr>
            <w:r w:rsidRPr="00ED613F">
              <w:rPr>
                <w:rFonts w:ascii="Times New Roman" w:eastAsia="MS Mincho" w:hAnsi="Times New Roman"/>
                <w:sz w:val="20"/>
                <w:szCs w:val="20"/>
              </w:rPr>
              <w:t>Proponuje się uzupełnienie uzasadnienia o informacje doprecyzowujące przesłanki przemawiające za wprowadzeniem obligatoryjnej dematerializacji akcji.</w:t>
            </w:r>
          </w:p>
          <w:p w:rsidR="00C309EA" w:rsidRDefault="00C309EA" w:rsidP="00ED613F">
            <w:pPr>
              <w:spacing w:before="200" w:after="200"/>
              <w:jc w:val="both"/>
              <w:rPr>
                <w:rFonts w:ascii="Times New Roman" w:eastAsia="MS Mincho" w:hAnsi="Times New Roman"/>
                <w:sz w:val="20"/>
                <w:szCs w:val="20"/>
              </w:rPr>
            </w:pPr>
          </w:p>
          <w:p w:rsidR="00C309EA" w:rsidRDefault="00C309EA" w:rsidP="00ED613F">
            <w:pPr>
              <w:spacing w:before="200" w:after="200"/>
              <w:jc w:val="both"/>
              <w:rPr>
                <w:rFonts w:ascii="Times New Roman" w:eastAsia="MS Mincho" w:hAnsi="Times New Roman"/>
                <w:sz w:val="20"/>
                <w:szCs w:val="20"/>
              </w:rPr>
            </w:pPr>
          </w:p>
          <w:p w:rsidR="00C309EA" w:rsidRDefault="00C309EA" w:rsidP="00ED613F">
            <w:pPr>
              <w:spacing w:before="200" w:after="200"/>
              <w:jc w:val="both"/>
              <w:rPr>
                <w:rFonts w:ascii="Times New Roman" w:eastAsia="MS Mincho" w:hAnsi="Times New Roman"/>
                <w:sz w:val="20"/>
                <w:szCs w:val="20"/>
              </w:rPr>
            </w:pPr>
          </w:p>
          <w:p w:rsidR="008A5E64" w:rsidRDefault="008A5E64" w:rsidP="00ED613F">
            <w:pPr>
              <w:spacing w:before="200" w:after="200"/>
              <w:jc w:val="both"/>
              <w:rPr>
                <w:rFonts w:ascii="Times New Roman" w:eastAsia="MS Mincho" w:hAnsi="Times New Roman"/>
                <w:sz w:val="20"/>
                <w:szCs w:val="20"/>
              </w:rPr>
            </w:pPr>
          </w:p>
          <w:p w:rsidR="00FF491E" w:rsidRPr="00ED613F" w:rsidRDefault="00C309EA" w:rsidP="00ED613F">
            <w:pPr>
              <w:spacing w:before="200" w:after="200"/>
              <w:jc w:val="both"/>
              <w:rPr>
                <w:rFonts w:ascii="Times New Roman" w:eastAsia="MS Mincho" w:hAnsi="Times New Roman"/>
                <w:sz w:val="20"/>
                <w:szCs w:val="20"/>
              </w:rPr>
            </w:pPr>
            <w:r>
              <w:rPr>
                <w:rFonts w:ascii="Times New Roman" w:eastAsia="MS Mincho" w:hAnsi="Times New Roman"/>
                <w:sz w:val="20"/>
                <w:szCs w:val="20"/>
              </w:rPr>
              <w:t>M</w:t>
            </w:r>
            <w:r w:rsidR="00FF491E" w:rsidRPr="00ED613F">
              <w:rPr>
                <w:rFonts w:ascii="Times New Roman" w:eastAsia="MS Mincho" w:hAnsi="Times New Roman"/>
                <w:sz w:val="20"/>
                <w:szCs w:val="20"/>
              </w:rPr>
              <w:t>ając na uwadze, że projektowane przepisy jednoznacznie wskazują, iż spółki będą mogły być zarejestrowane tylko w jednym z rejestrów, tj. albo w rejestrze akcjonariuszy (prowadzonym przez podmiot wybrany przez walne zgromadzenie) albo w depozycie papierów wartościowych, proponuje się także poszerzenie informacji o korzyściach płynących dla spółek niepublicznych, jakie wynikają z możliwości dokonania powyższego wyboru na podstawie projektowanego przepisu art. 328</w:t>
            </w:r>
            <w:r w:rsidR="00FF491E" w:rsidRPr="00ED613F">
              <w:rPr>
                <w:rFonts w:ascii="Times New Roman" w:eastAsia="MS Mincho" w:hAnsi="Times New Roman"/>
                <w:sz w:val="20"/>
                <w:szCs w:val="20"/>
                <w:vertAlign w:val="superscript"/>
              </w:rPr>
              <w:t>11</w:t>
            </w:r>
            <w:r w:rsidR="00FF491E" w:rsidRPr="00ED613F">
              <w:rPr>
                <w:rFonts w:ascii="Times New Roman" w:eastAsia="MS Mincho" w:hAnsi="Times New Roman"/>
                <w:sz w:val="20"/>
                <w:szCs w:val="20"/>
              </w:rPr>
              <w:t xml:space="preserve"> § 1 </w:t>
            </w:r>
            <w:proofErr w:type="spellStart"/>
            <w:r w:rsidR="00FF491E" w:rsidRPr="00ED613F">
              <w:rPr>
                <w:rFonts w:ascii="Times New Roman" w:eastAsia="MS Mincho" w:hAnsi="Times New Roman"/>
                <w:sz w:val="20"/>
                <w:szCs w:val="20"/>
              </w:rPr>
              <w:t>K.s.h</w:t>
            </w:r>
            <w:proofErr w:type="spellEnd"/>
            <w:r w:rsidR="00FF491E" w:rsidRPr="00ED613F">
              <w:rPr>
                <w:rFonts w:ascii="Times New Roman" w:eastAsia="MS Mincho" w:hAnsi="Times New Roman"/>
                <w:sz w:val="20"/>
                <w:szCs w:val="20"/>
              </w:rPr>
              <w:t>. (np. czy taki wybór będzie miał wpływ na wielkość ponoszonych kosztów przez spółkę, związanych z obowiązkiem takiej rejestracji (dematerializacji)).</w:t>
            </w:r>
          </w:p>
          <w:p w:rsidR="00FF491E" w:rsidRPr="00ED613F" w:rsidRDefault="00FF491E" w:rsidP="00ED613F">
            <w:pPr>
              <w:spacing w:before="200" w:after="200"/>
              <w:jc w:val="both"/>
              <w:rPr>
                <w:rFonts w:ascii="Times New Roman" w:eastAsia="MS Mincho" w:hAnsi="Times New Roman"/>
                <w:sz w:val="20"/>
                <w:szCs w:val="20"/>
              </w:rPr>
            </w:pPr>
            <w:r w:rsidRPr="00ED613F">
              <w:rPr>
                <w:rFonts w:ascii="Times New Roman" w:eastAsia="MS Mincho" w:hAnsi="Times New Roman"/>
                <w:sz w:val="20"/>
                <w:szCs w:val="20"/>
              </w:rPr>
              <w:t>Proponuje się przeredagowanie uzasadnienia w sposób, który nie będzie eksponował poszczególnych treści jako stanowiska ministra właściwego do spraw finansów publicznych lub uzupełnienie go poprzez wskazanie źródeł przywoływanych stanowisk.</w:t>
            </w:r>
          </w:p>
          <w:p w:rsidR="00FF491E" w:rsidRPr="00ED613F" w:rsidRDefault="00FF491E" w:rsidP="00ED613F">
            <w:pPr>
              <w:spacing w:before="200" w:after="200"/>
              <w:jc w:val="both"/>
              <w:rPr>
                <w:rFonts w:ascii="Times New Roman" w:eastAsia="MS Mincho" w:hAnsi="Times New Roman"/>
                <w:b/>
                <w:sz w:val="20"/>
                <w:szCs w:val="20"/>
              </w:rPr>
            </w:pPr>
            <w:r w:rsidRPr="00ED613F">
              <w:rPr>
                <w:rFonts w:ascii="Times New Roman" w:eastAsia="MS Mincho" w:hAnsi="Times New Roman"/>
                <w:sz w:val="20"/>
                <w:szCs w:val="20"/>
              </w:rPr>
              <w:t>Wskazane byłoby uzupełnienie także źródeł analiz</w:t>
            </w:r>
            <w:r w:rsidR="00DE4875">
              <w:rPr>
                <w:rFonts w:ascii="Times New Roman" w:eastAsia="MS Mincho" w:hAnsi="Times New Roman"/>
                <w:sz w:val="20"/>
                <w:szCs w:val="20"/>
              </w:rPr>
              <w:t xml:space="preserve"> </w:t>
            </w:r>
            <w:r w:rsidRPr="00ED613F">
              <w:rPr>
                <w:rFonts w:ascii="Times New Roman" w:eastAsia="MS Mincho" w:hAnsi="Times New Roman"/>
                <w:sz w:val="20"/>
                <w:szCs w:val="20"/>
              </w:rPr>
              <w:t>/</w:t>
            </w:r>
            <w:r w:rsidR="00DE4875">
              <w:rPr>
                <w:rFonts w:ascii="Times New Roman" w:eastAsia="MS Mincho" w:hAnsi="Times New Roman"/>
                <w:sz w:val="20"/>
                <w:szCs w:val="20"/>
              </w:rPr>
              <w:t xml:space="preserve"> </w:t>
            </w:r>
            <w:r w:rsidRPr="00ED613F">
              <w:rPr>
                <w:rFonts w:ascii="Times New Roman" w:eastAsia="MS Mincho" w:hAnsi="Times New Roman"/>
                <w:sz w:val="20"/>
                <w:szCs w:val="20"/>
              </w:rPr>
              <w:t>opinii przywołanych w uzasadnieniu.</w:t>
            </w:r>
          </w:p>
        </w:tc>
        <w:tc>
          <w:tcPr>
            <w:tcW w:w="5436" w:type="dxa"/>
          </w:tcPr>
          <w:p w:rsidR="00DE1F7B" w:rsidRPr="006F6473" w:rsidRDefault="00176671" w:rsidP="008A5E64">
            <w:pPr>
              <w:spacing w:before="200" w:after="200"/>
              <w:jc w:val="both"/>
              <w:rPr>
                <w:rFonts w:ascii="Times New Roman" w:eastAsia="MS Mincho" w:hAnsi="Times New Roman"/>
                <w:sz w:val="20"/>
              </w:rPr>
            </w:pPr>
            <w:r w:rsidRPr="0045748E">
              <w:rPr>
                <w:rFonts w:ascii="Times New Roman" w:eastAsia="MS Mincho" w:hAnsi="Times New Roman"/>
                <w:sz w:val="20"/>
              </w:rPr>
              <w:t xml:space="preserve">Wskazano, że w uzasadnieniu zostały w sposób </w:t>
            </w:r>
            <w:r w:rsidR="0045748E" w:rsidRPr="0045748E">
              <w:rPr>
                <w:rFonts w:ascii="Times New Roman" w:eastAsia="MS Mincho" w:hAnsi="Times New Roman"/>
                <w:sz w:val="20"/>
              </w:rPr>
              <w:t>bardzo obszerny omówione argumenty przemawiające</w:t>
            </w:r>
            <w:r w:rsidR="00D05127">
              <w:rPr>
                <w:rFonts w:ascii="Times New Roman" w:eastAsia="MS Mincho" w:hAnsi="Times New Roman"/>
                <w:sz w:val="20"/>
              </w:rPr>
              <w:t xml:space="preserve"> za obligatoryjną </w:t>
            </w:r>
            <w:r w:rsidR="0045748E" w:rsidRPr="0045748E">
              <w:rPr>
                <w:rFonts w:ascii="Times New Roman" w:eastAsia="MS Mincho" w:hAnsi="Times New Roman"/>
                <w:sz w:val="20"/>
              </w:rPr>
              <w:t xml:space="preserve">dematerializacją. </w:t>
            </w:r>
            <w:r w:rsidR="00D05127">
              <w:t xml:space="preserve"> </w:t>
            </w:r>
            <w:r w:rsidR="00D05127" w:rsidRPr="00D05127">
              <w:rPr>
                <w:rFonts w:ascii="Times New Roman" w:eastAsia="MS Mincho" w:hAnsi="Times New Roman"/>
                <w:sz w:val="20"/>
              </w:rPr>
              <w:t>Dodatkowo wskazano</w:t>
            </w:r>
            <w:r w:rsidR="00D05127">
              <w:rPr>
                <w:rFonts w:ascii="Times New Roman" w:eastAsia="MS Mincho" w:hAnsi="Times New Roman"/>
                <w:sz w:val="20"/>
              </w:rPr>
              <w:t xml:space="preserve"> – jak w odniesieniu się do uwagi z pkt 2 </w:t>
            </w:r>
            <w:r w:rsidR="00FF4D02">
              <w:rPr>
                <w:rFonts w:ascii="Times New Roman" w:eastAsia="MS Mincho" w:hAnsi="Times New Roman"/>
                <w:sz w:val="20"/>
              </w:rPr>
              <w:t>niniejszej</w:t>
            </w:r>
            <w:r w:rsidR="00D05127">
              <w:rPr>
                <w:rFonts w:ascii="Times New Roman" w:eastAsia="MS Mincho" w:hAnsi="Times New Roman"/>
                <w:sz w:val="20"/>
              </w:rPr>
              <w:t xml:space="preserve"> tabeli – </w:t>
            </w:r>
            <w:r w:rsidR="00D05127" w:rsidRPr="00D05127">
              <w:rPr>
                <w:rFonts w:ascii="Times New Roman" w:eastAsia="MS Mincho" w:hAnsi="Times New Roman"/>
                <w:sz w:val="20"/>
              </w:rPr>
              <w:t xml:space="preserve"> że </w:t>
            </w:r>
            <w:r w:rsidR="00FF4D02">
              <w:rPr>
                <w:rFonts w:ascii="Times New Roman" w:eastAsia="MS Mincho" w:hAnsi="Times New Roman"/>
                <w:sz w:val="20"/>
              </w:rPr>
              <w:t xml:space="preserve">brak obligatoryjnej </w:t>
            </w:r>
            <w:r w:rsidR="00D05127" w:rsidRPr="00D05127">
              <w:rPr>
                <w:rFonts w:ascii="Times New Roman" w:eastAsia="MS Mincho" w:hAnsi="Times New Roman"/>
                <w:sz w:val="20"/>
              </w:rPr>
              <w:t>dematerializacj</w:t>
            </w:r>
            <w:r w:rsidR="00FF4D02">
              <w:rPr>
                <w:rFonts w:ascii="Times New Roman" w:eastAsia="MS Mincho" w:hAnsi="Times New Roman"/>
                <w:sz w:val="20"/>
              </w:rPr>
              <w:t>i akcji imiennych skutkował</w:t>
            </w:r>
            <w:r w:rsidR="00D05127" w:rsidRPr="00D05127">
              <w:rPr>
                <w:rFonts w:ascii="Times New Roman" w:eastAsia="MS Mincho" w:hAnsi="Times New Roman"/>
                <w:sz w:val="20"/>
              </w:rPr>
              <w:t xml:space="preserve">by koniecznością utrzymywania przez spółkę dwóch odrębnych systemów rejestracji akcji (rejestr akcjonariuszy, o którym mowa w </w:t>
            </w:r>
            <w:r w:rsidR="00D05127" w:rsidRPr="006F6473">
              <w:rPr>
                <w:rFonts w:ascii="Times New Roman" w:eastAsia="MS Mincho" w:hAnsi="Times New Roman"/>
                <w:sz w:val="20"/>
              </w:rPr>
              <w:t>projekcie oraz księga akcyjna), co komplikowałoby  otoczenie prawne i było uciążliwe dla spółki (uzasadnienie projektu zostanie uzupełnione o ten element).</w:t>
            </w:r>
          </w:p>
          <w:p w:rsidR="00392F7F" w:rsidRPr="006F6473" w:rsidRDefault="00392F7F" w:rsidP="009D0985">
            <w:pPr>
              <w:spacing w:before="200" w:after="200"/>
              <w:jc w:val="both"/>
              <w:rPr>
                <w:rFonts w:ascii="Times New Roman" w:eastAsia="MS Mincho" w:hAnsi="Times New Roman"/>
                <w:sz w:val="20"/>
              </w:rPr>
            </w:pPr>
          </w:p>
          <w:p w:rsidR="0060154A" w:rsidRPr="006F6473" w:rsidRDefault="0060154A" w:rsidP="009D0985">
            <w:pPr>
              <w:spacing w:before="200" w:after="200"/>
              <w:jc w:val="both"/>
              <w:rPr>
                <w:rFonts w:ascii="Times New Roman" w:eastAsia="MS Mincho" w:hAnsi="Times New Roman"/>
                <w:b/>
                <w:sz w:val="20"/>
              </w:rPr>
            </w:pPr>
            <w:r w:rsidRPr="006F6473">
              <w:rPr>
                <w:rFonts w:ascii="Times New Roman" w:eastAsia="MS Mincho" w:hAnsi="Times New Roman"/>
                <w:sz w:val="20"/>
              </w:rPr>
              <w:t>Wyjaśniono, że nie jest rolą ustawodawcy doradzanie</w:t>
            </w:r>
            <w:r w:rsidR="009D0985" w:rsidRPr="006F6473">
              <w:rPr>
                <w:rFonts w:ascii="Times New Roman" w:eastAsia="MS Mincho" w:hAnsi="Times New Roman"/>
                <w:sz w:val="20"/>
              </w:rPr>
              <w:t xml:space="preserve"> spółkom</w:t>
            </w:r>
            <w:r w:rsidRPr="006F6473">
              <w:rPr>
                <w:rFonts w:ascii="Times New Roman" w:eastAsia="MS Mincho" w:hAnsi="Times New Roman"/>
                <w:sz w:val="20"/>
              </w:rPr>
              <w:t xml:space="preserve">, które z </w:t>
            </w:r>
            <w:r w:rsidR="009D0985" w:rsidRPr="006F6473">
              <w:rPr>
                <w:rFonts w:ascii="Times New Roman" w:eastAsia="MS Mincho" w:hAnsi="Times New Roman"/>
                <w:sz w:val="20"/>
              </w:rPr>
              <w:t xml:space="preserve">możliwych – alternatywnych </w:t>
            </w:r>
            <w:r w:rsidRPr="006F6473">
              <w:rPr>
                <w:rFonts w:ascii="Times New Roman" w:eastAsia="MS Mincho" w:hAnsi="Times New Roman"/>
                <w:sz w:val="20"/>
              </w:rPr>
              <w:t>rozwiązań</w:t>
            </w:r>
            <w:r w:rsidR="009D0985" w:rsidRPr="006F6473">
              <w:rPr>
                <w:rFonts w:ascii="Times New Roman" w:eastAsia="MS Mincho" w:hAnsi="Times New Roman"/>
                <w:sz w:val="20"/>
              </w:rPr>
              <w:t xml:space="preserve"> przewidzianych w przepisach, </w:t>
            </w:r>
            <w:r w:rsidRPr="006F6473">
              <w:rPr>
                <w:rFonts w:ascii="Times New Roman" w:eastAsia="MS Mincho" w:hAnsi="Times New Roman"/>
                <w:sz w:val="20"/>
              </w:rPr>
              <w:t>jest lepsz</w:t>
            </w:r>
            <w:r w:rsidR="00DE4875" w:rsidRPr="006F6473">
              <w:rPr>
                <w:rFonts w:ascii="Times New Roman" w:eastAsia="MS Mincho" w:hAnsi="Times New Roman"/>
                <w:sz w:val="20"/>
              </w:rPr>
              <w:t>e dla danego podmiotu.</w:t>
            </w:r>
          </w:p>
          <w:p w:rsidR="0060154A" w:rsidRPr="006F6473" w:rsidRDefault="0060154A" w:rsidP="008A5E64">
            <w:pPr>
              <w:spacing w:before="200" w:after="200"/>
              <w:jc w:val="both"/>
              <w:rPr>
                <w:rFonts w:ascii="Times New Roman" w:eastAsia="MS Mincho" w:hAnsi="Times New Roman"/>
                <w:sz w:val="20"/>
              </w:rPr>
            </w:pPr>
          </w:p>
          <w:p w:rsidR="0060154A" w:rsidRPr="006F6473" w:rsidRDefault="0060154A" w:rsidP="008A5E64">
            <w:pPr>
              <w:spacing w:before="200" w:after="200"/>
              <w:jc w:val="both"/>
              <w:rPr>
                <w:rFonts w:ascii="Times New Roman" w:eastAsia="MS Mincho" w:hAnsi="Times New Roman"/>
                <w:sz w:val="20"/>
              </w:rPr>
            </w:pPr>
          </w:p>
          <w:p w:rsidR="0060154A" w:rsidRPr="006F6473" w:rsidRDefault="0060154A" w:rsidP="008A5E64">
            <w:pPr>
              <w:spacing w:before="200" w:after="200"/>
              <w:jc w:val="both"/>
              <w:rPr>
                <w:rFonts w:ascii="Times New Roman" w:eastAsia="MS Mincho" w:hAnsi="Times New Roman"/>
                <w:sz w:val="20"/>
              </w:rPr>
            </w:pPr>
          </w:p>
          <w:p w:rsidR="00DE1F7B" w:rsidRPr="006F6473" w:rsidRDefault="00D538A4" w:rsidP="008A5E64">
            <w:pPr>
              <w:spacing w:before="200" w:after="200"/>
              <w:jc w:val="both"/>
              <w:rPr>
                <w:rFonts w:ascii="Times New Roman" w:eastAsia="MS Mincho" w:hAnsi="Times New Roman"/>
                <w:sz w:val="20"/>
              </w:rPr>
            </w:pPr>
            <w:r w:rsidRPr="006F6473">
              <w:rPr>
                <w:rFonts w:ascii="Times New Roman" w:eastAsia="MS Mincho" w:hAnsi="Times New Roman"/>
                <w:sz w:val="20"/>
              </w:rPr>
              <w:t>Ustalono</w:t>
            </w:r>
            <w:r w:rsidR="00C5777F" w:rsidRPr="006F6473">
              <w:rPr>
                <w:rFonts w:ascii="Times New Roman" w:eastAsia="MS Mincho" w:hAnsi="Times New Roman"/>
                <w:sz w:val="20"/>
              </w:rPr>
              <w:t>, że w uzasadnieniu zostaną</w:t>
            </w:r>
            <w:r w:rsidRPr="006F6473">
              <w:rPr>
                <w:rFonts w:ascii="Times New Roman" w:eastAsia="MS Mincho" w:hAnsi="Times New Roman"/>
                <w:sz w:val="20"/>
              </w:rPr>
              <w:t xml:space="preserve"> </w:t>
            </w:r>
            <w:r w:rsidR="00C309EA" w:rsidRPr="006F6473">
              <w:rPr>
                <w:rFonts w:ascii="Times New Roman" w:eastAsia="MS Mincho" w:hAnsi="Times New Roman"/>
                <w:sz w:val="20"/>
              </w:rPr>
              <w:t xml:space="preserve">wskazane </w:t>
            </w:r>
            <w:r w:rsidRPr="006F6473">
              <w:rPr>
                <w:rFonts w:ascii="Times New Roman" w:eastAsia="MS Mincho" w:hAnsi="Times New Roman"/>
                <w:sz w:val="20"/>
              </w:rPr>
              <w:t>„źródła przywołanych stanowisk” ministra finansów.</w:t>
            </w:r>
          </w:p>
          <w:p w:rsidR="00DE4875" w:rsidRPr="006F6473" w:rsidRDefault="00DE4875" w:rsidP="008A5E64">
            <w:pPr>
              <w:spacing w:before="200" w:after="200"/>
              <w:rPr>
                <w:rFonts w:ascii="Times New Roman" w:eastAsia="MS Mincho" w:hAnsi="Times New Roman"/>
                <w:sz w:val="20"/>
              </w:rPr>
            </w:pPr>
          </w:p>
          <w:p w:rsidR="00DE1F7B" w:rsidRPr="00D6185A" w:rsidRDefault="00DE4875" w:rsidP="00AB08EA">
            <w:pPr>
              <w:spacing w:before="200" w:after="200"/>
              <w:jc w:val="both"/>
              <w:rPr>
                <w:rFonts w:ascii="Times New Roman" w:eastAsia="MS Mincho" w:hAnsi="Times New Roman"/>
                <w:sz w:val="20"/>
                <w:szCs w:val="20"/>
              </w:rPr>
            </w:pPr>
            <w:r w:rsidRPr="006F6473">
              <w:rPr>
                <w:rFonts w:ascii="Times New Roman" w:eastAsia="MS Mincho" w:hAnsi="Times New Roman"/>
                <w:sz w:val="20"/>
              </w:rPr>
              <w:t xml:space="preserve">Wskazano, że w uzasadnieniu są już </w:t>
            </w:r>
            <w:r>
              <w:rPr>
                <w:rFonts w:ascii="Times New Roman" w:eastAsia="MS Mincho" w:hAnsi="Times New Roman"/>
                <w:sz w:val="20"/>
              </w:rPr>
              <w:t xml:space="preserve">przywołane </w:t>
            </w:r>
            <w:r w:rsidR="00AB08EA">
              <w:rPr>
                <w:rFonts w:ascii="Times New Roman" w:eastAsia="MS Mincho" w:hAnsi="Times New Roman"/>
                <w:sz w:val="20"/>
              </w:rPr>
              <w:t>źródła</w:t>
            </w:r>
            <w:r>
              <w:rPr>
                <w:rFonts w:ascii="Times New Roman" w:eastAsia="MS Mincho" w:hAnsi="Times New Roman"/>
                <w:sz w:val="20"/>
              </w:rPr>
              <w:t xml:space="preserve"> opracowań, do których odwołuje się </w:t>
            </w:r>
            <w:r w:rsidR="00AB08EA">
              <w:rPr>
                <w:rFonts w:ascii="Times New Roman" w:eastAsia="MS Mincho" w:hAnsi="Times New Roman"/>
                <w:sz w:val="20"/>
              </w:rPr>
              <w:t>uzasadnienie</w:t>
            </w:r>
            <w:r>
              <w:rPr>
                <w:rFonts w:ascii="Times New Roman" w:eastAsia="MS Mincho" w:hAnsi="Times New Roman"/>
                <w:sz w:val="20"/>
              </w:rPr>
              <w:t xml:space="preserve">. </w:t>
            </w:r>
            <w:r w:rsidR="00AB08EA">
              <w:rPr>
                <w:rFonts w:ascii="Times New Roman" w:eastAsia="MS Mincho" w:hAnsi="Times New Roman"/>
                <w:sz w:val="20"/>
              </w:rPr>
              <w:t>Nie mniej jednak dokument zostanie raz jeszcze przeanalizowany pod tym kątem.</w:t>
            </w:r>
          </w:p>
        </w:tc>
      </w:tr>
      <w:tr w:rsidR="00FF491E" w:rsidRPr="00ED613F" w:rsidTr="00ED613F">
        <w:tc>
          <w:tcPr>
            <w:tcW w:w="572" w:type="dxa"/>
          </w:tcPr>
          <w:p w:rsidR="00FF491E" w:rsidRPr="00ED613F" w:rsidRDefault="00FF491E" w:rsidP="00ED613F">
            <w:pPr>
              <w:spacing w:before="200" w:after="200" w:line="276" w:lineRule="auto"/>
              <w:rPr>
                <w:rFonts w:ascii="Times New Roman" w:eastAsia="MS Mincho" w:hAnsi="Times New Roman"/>
                <w:sz w:val="20"/>
                <w:szCs w:val="20"/>
              </w:rPr>
            </w:pPr>
            <w:r w:rsidRPr="00ED613F">
              <w:rPr>
                <w:rFonts w:ascii="Times New Roman" w:eastAsia="MS Mincho" w:hAnsi="Times New Roman"/>
                <w:sz w:val="20"/>
                <w:szCs w:val="20"/>
              </w:rPr>
              <w:t>39.</w:t>
            </w:r>
          </w:p>
        </w:tc>
        <w:tc>
          <w:tcPr>
            <w:tcW w:w="2127" w:type="dxa"/>
          </w:tcPr>
          <w:p w:rsidR="00FF491E" w:rsidRPr="00ED613F" w:rsidRDefault="00FF491E" w:rsidP="00ED613F">
            <w:pPr>
              <w:spacing w:before="200" w:after="200" w:line="276" w:lineRule="auto"/>
              <w:jc w:val="center"/>
              <w:rPr>
                <w:rFonts w:ascii="Times New Roman" w:eastAsia="MS Mincho" w:hAnsi="Times New Roman"/>
                <w:b/>
                <w:sz w:val="20"/>
                <w:szCs w:val="20"/>
              </w:rPr>
            </w:pPr>
          </w:p>
        </w:tc>
        <w:tc>
          <w:tcPr>
            <w:tcW w:w="1291" w:type="dxa"/>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FF491E" w:rsidRPr="00ED613F" w:rsidRDefault="00FF491E" w:rsidP="00FE71CC">
            <w:pPr>
              <w:spacing w:before="200" w:after="200"/>
              <w:jc w:val="both"/>
              <w:rPr>
                <w:rFonts w:ascii="Times New Roman" w:eastAsia="MS Mincho" w:hAnsi="Times New Roman"/>
                <w:sz w:val="20"/>
                <w:szCs w:val="20"/>
              </w:rPr>
            </w:pPr>
            <w:r w:rsidRPr="00ED613F">
              <w:rPr>
                <w:rFonts w:ascii="Times New Roman" w:eastAsia="MS Mincho" w:hAnsi="Times New Roman"/>
                <w:sz w:val="20"/>
                <w:szCs w:val="20"/>
              </w:rPr>
              <w:t xml:space="preserve">Należy mieć na uwadze, że wskazane w uzasadnieniu problemy, na które odpowiada projekt, takie jak brak możliwości identyfikacji </w:t>
            </w:r>
            <w:r w:rsidRPr="00ED613F">
              <w:rPr>
                <w:rFonts w:ascii="Times New Roman" w:eastAsia="MS Mincho" w:hAnsi="Times New Roman"/>
                <w:sz w:val="20"/>
                <w:szCs w:val="20"/>
              </w:rPr>
              <w:lastRenderedPageBreak/>
              <w:t>uprawnionych z akcji i związane z tym ryzyko nadużyć (tzw. pranie brudnych pieniędzy, unikanie opodatkowania) są charakterystyczne dla akcji na okaziciela i jedynie w ograniczonym zakresie dotyczą akcji imiennych. W ocenie Ministerstwa Rozwoju zasadne jest więc rozbudowanie uzasadnienia projektu w powyższym zakresie.</w:t>
            </w:r>
          </w:p>
        </w:tc>
        <w:tc>
          <w:tcPr>
            <w:tcW w:w="5436" w:type="dxa"/>
          </w:tcPr>
          <w:p w:rsidR="00FF491E" w:rsidRPr="00ED613F" w:rsidRDefault="00887D4B" w:rsidP="005E7083">
            <w:pPr>
              <w:spacing w:before="200" w:after="200" w:line="276" w:lineRule="auto"/>
              <w:rPr>
                <w:rFonts w:ascii="Times New Roman" w:eastAsia="MS Mincho" w:hAnsi="Times New Roman"/>
                <w:sz w:val="20"/>
                <w:szCs w:val="20"/>
              </w:rPr>
            </w:pPr>
            <w:r>
              <w:rPr>
                <w:rFonts w:ascii="Times New Roman" w:eastAsia="MS Mincho" w:hAnsi="Times New Roman"/>
                <w:sz w:val="20"/>
                <w:szCs w:val="20"/>
              </w:rPr>
              <w:lastRenderedPageBreak/>
              <w:t xml:space="preserve">Vide: wyjaśnienia </w:t>
            </w:r>
            <w:r w:rsidR="00FE71CC">
              <w:rPr>
                <w:rFonts w:ascii="Times New Roman" w:eastAsia="MS Mincho" w:hAnsi="Times New Roman"/>
                <w:sz w:val="20"/>
                <w:szCs w:val="20"/>
              </w:rPr>
              <w:t>dot. uwag z pkt 2 niniejszej tabeli.</w:t>
            </w:r>
          </w:p>
        </w:tc>
      </w:tr>
      <w:tr w:rsidR="00FF491E" w:rsidRPr="00ED613F" w:rsidTr="00ED613F">
        <w:tc>
          <w:tcPr>
            <w:tcW w:w="15467" w:type="dxa"/>
            <w:gridSpan w:val="5"/>
          </w:tcPr>
          <w:p w:rsidR="00FF491E" w:rsidRPr="00ED613F" w:rsidRDefault="00FF491E" w:rsidP="00ED613F">
            <w:pPr>
              <w:spacing w:before="200" w:after="200" w:line="276" w:lineRule="auto"/>
              <w:jc w:val="center"/>
              <w:rPr>
                <w:rFonts w:ascii="Times New Roman" w:eastAsia="MS Mincho" w:hAnsi="Times New Roman"/>
                <w:b/>
                <w:sz w:val="20"/>
                <w:szCs w:val="20"/>
              </w:rPr>
            </w:pPr>
            <w:r w:rsidRPr="00ED613F">
              <w:rPr>
                <w:rFonts w:ascii="Times New Roman" w:eastAsia="MS Mincho" w:hAnsi="Times New Roman"/>
                <w:b/>
                <w:sz w:val="20"/>
                <w:szCs w:val="20"/>
              </w:rPr>
              <w:lastRenderedPageBreak/>
              <w:t>IV. UWAGI DO OCENY SKUTKÓW REGULACJI</w:t>
            </w:r>
          </w:p>
        </w:tc>
      </w:tr>
      <w:tr w:rsidR="00FF491E" w:rsidRPr="00ED613F" w:rsidTr="00ED613F">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t>40.</w:t>
            </w:r>
          </w:p>
        </w:tc>
        <w:tc>
          <w:tcPr>
            <w:tcW w:w="2127" w:type="dxa"/>
            <w:vMerge w:val="restart"/>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(uzupełnienie OSR)</w:t>
            </w:r>
          </w:p>
        </w:tc>
        <w:tc>
          <w:tcPr>
            <w:tcW w:w="1291"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KPRM</w:t>
            </w:r>
          </w:p>
        </w:tc>
        <w:tc>
          <w:tcPr>
            <w:tcW w:w="6041" w:type="dxa"/>
          </w:tcPr>
          <w:p w:rsidR="00FF491E" w:rsidRPr="002F690F" w:rsidRDefault="00FF491E" w:rsidP="00ED613F">
            <w:pPr>
              <w:rPr>
                <w:rFonts w:ascii="Times New Roman" w:eastAsia="MS Mincho" w:hAnsi="Times New Roman"/>
                <w:sz w:val="20"/>
                <w:szCs w:val="20"/>
              </w:rPr>
            </w:pPr>
            <w:r w:rsidRPr="002F690F">
              <w:rPr>
                <w:rFonts w:ascii="Times New Roman" w:eastAsia="MS Mincho" w:hAnsi="Times New Roman"/>
                <w:sz w:val="20"/>
                <w:szCs w:val="20"/>
              </w:rPr>
              <w:t>Konieczność uzupełnienia OSR o:</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1) wskazanie liczby podmiotów uprawnionych do prowadzenia rachunków papierów wartościowych (pkt 4 OSR);</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2) oszacowanie w pkt 7 OSR kosztów dostosowania podmiotów prowadzących rejestry papierów wartościowych do prowadzenia rejestrów akcji, w tym zmiany kosztów bieżącego prowadzenia rejestrów;</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3) prezentacje skutków (w tym kosztów) nałożenia na spółki obligatoryjnego prowadzenia strony internetowej (pkt 7 OSR);</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4) omówienie wpływu na podmioty zajmujące się profesjonalną produkcją dokumentów akcji (pkt 7 OSR);</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5) szczegółowe przedstawienie obowiązków spółek oraz akcjonariuszy w związku z procesem dematerializacji akcji (pkt 8 OSR);</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6) oszacowanie wpływu na czas rejestracji spółek (pkt 8 OSR);</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7) omówienie wpływu dematerializacji akcji na zwiększenie przejrzystości oraz efektywności wymiany informacji w sprawach podatkowych (pkt. 10 OSR);</w:t>
            </w: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8) przestawienie wpływu zasad rejestracji akcjonariatu spółki dla ładu nadzorczego spółek będących własnością Skarbu Państwa lub innych podmiotów sektora finansów publicznych (pkt 10) OSR.</w:t>
            </w:r>
          </w:p>
          <w:p w:rsidR="00FF491E" w:rsidRPr="002F690F" w:rsidRDefault="00FF491E" w:rsidP="00ED613F">
            <w:pPr>
              <w:jc w:val="both"/>
              <w:rPr>
                <w:rFonts w:ascii="Times New Roman" w:eastAsia="MS Mincho" w:hAnsi="Times New Roman"/>
                <w:sz w:val="20"/>
                <w:szCs w:val="20"/>
              </w:rPr>
            </w:pPr>
          </w:p>
          <w:p w:rsidR="00FF491E" w:rsidRPr="002F690F" w:rsidRDefault="00FF491E" w:rsidP="00ED613F">
            <w:pPr>
              <w:jc w:val="both"/>
              <w:rPr>
                <w:rFonts w:ascii="Times New Roman" w:eastAsia="MS Mincho" w:hAnsi="Times New Roman"/>
                <w:sz w:val="20"/>
                <w:szCs w:val="20"/>
              </w:rPr>
            </w:pPr>
            <w:r w:rsidRPr="002F690F">
              <w:rPr>
                <w:rFonts w:ascii="Times New Roman" w:eastAsia="MS Mincho" w:hAnsi="Times New Roman"/>
                <w:sz w:val="20"/>
                <w:szCs w:val="20"/>
              </w:rPr>
              <w:t>Jednocześnie OSR wymaga określenia czasu trwania konsultacji publicznych i opiniowania wraz z podaniem uzasadnienia wyznaczenia terminu do zajęcia stanowiska krótszego niż 21 dni, a w przypadku reprezentatywnych organizacji pracodawców, krótszego niż 30 dni. Ponadto rekomendowane jest przekazanie projektu do zaopiniowania przez Krajowy Depozyt Papierów Wartościowych, inne podmioty uprawnione do prowadzenia rachunków papierów wartościowych, a także przedstawicieli związków i doradców inwestycyjnych i maklerów i reprezentantów inwestorów (pkt 5 OSR).</w:t>
            </w:r>
          </w:p>
        </w:tc>
        <w:tc>
          <w:tcPr>
            <w:tcW w:w="5436" w:type="dxa"/>
          </w:tcPr>
          <w:p w:rsidR="00B12AF8" w:rsidRPr="002F690F" w:rsidRDefault="00B12AF8" w:rsidP="00BA0A0E">
            <w:pPr>
              <w:spacing w:line="276" w:lineRule="auto"/>
              <w:jc w:val="both"/>
              <w:rPr>
                <w:rFonts w:ascii="Times New Roman" w:eastAsia="MS Mincho" w:hAnsi="Times New Roman"/>
                <w:sz w:val="20"/>
                <w:szCs w:val="20"/>
              </w:rPr>
            </w:pPr>
            <w:r w:rsidRPr="002F690F">
              <w:rPr>
                <w:rFonts w:ascii="Times New Roman" w:eastAsia="MS Mincho" w:hAnsi="Times New Roman"/>
                <w:sz w:val="20"/>
              </w:rPr>
              <w:t>U</w:t>
            </w:r>
            <w:r w:rsidR="00FE71CC" w:rsidRPr="002F690F">
              <w:rPr>
                <w:rFonts w:ascii="Times New Roman" w:eastAsia="MS Mincho" w:hAnsi="Times New Roman"/>
                <w:sz w:val="20"/>
              </w:rPr>
              <w:t xml:space="preserve">waga został uwzględniona: </w:t>
            </w:r>
            <w:r w:rsidRPr="002F690F">
              <w:rPr>
                <w:rFonts w:ascii="Times New Roman" w:eastAsia="MS Mincho" w:hAnsi="Times New Roman"/>
                <w:sz w:val="20"/>
              </w:rPr>
              <w:t xml:space="preserve">OSR zostanie </w:t>
            </w:r>
            <w:r w:rsidR="00BA0A0E" w:rsidRPr="002F690F">
              <w:rPr>
                <w:rFonts w:ascii="Times New Roman" w:eastAsia="MS Mincho" w:hAnsi="Times New Roman"/>
                <w:sz w:val="20"/>
              </w:rPr>
              <w:t xml:space="preserve">odpowiednio </w:t>
            </w:r>
            <w:r w:rsidRPr="002F690F">
              <w:rPr>
                <w:rFonts w:ascii="Times New Roman" w:eastAsia="MS Mincho" w:hAnsi="Times New Roman"/>
                <w:sz w:val="20"/>
              </w:rPr>
              <w:t>uzupełniony</w:t>
            </w:r>
            <w:r w:rsidR="002F690F">
              <w:rPr>
                <w:rFonts w:ascii="Times New Roman" w:eastAsia="MS Mincho" w:hAnsi="Times New Roman"/>
                <w:sz w:val="20"/>
              </w:rPr>
              <w:t>.</w:t>
            </w:r>
            <w:bookmarkStart w:id="0" w:name="_GoBack"/>
            <w:bookmarkEnd w:id="0"/>
          </w:p>
        </w:tc>
      </w:tr>
      <w:tr w:rsidR="00FF491E" w:rsidRPr="00ED613F" w:rsidTr="00ED613F">
        <w:trPr>
          <w:trHeight w:val="4744"/>
        </w:trPr>
        <w:tc>
          <w:tcPr>
            <w:tcW w:w="572" w:type="dxa"/>
          </w:tcPr>
          <w:p w:rsidR="00FF491E" w:rsidRPr="00ED613F" w:rsidRDefault="00FF491E" w:rsidP="00ED613F">
            <w:pPr>
              <w:spacing w:line="276" w:lineRule="auto"/>
              <w:rPr>
                <w:rFonts w:ascii="Times New Roman" w:eastAsia="MS Mincho" w:hAnsi="Times New Roman"/>
                <w:sz w:val="20"/>
                <w:szCs w:val="20"/>
              </w:rPr>
            </w:pPr>
            <w:r w:rsidRPr="00ED613F">
              <w:rPr>
                <w:rFonts w:ascii="Times New Roman" w:eastAsia="MS Mincho" w:hAnsi="Times New Roman"/>
                <w:sz w:val="20"/>
                <w:szCs w:val="20"/>
              </w:rPr>
              <w:lastRenderedPageBreak/>
              <w:t>41.</w:t>
            </w:r>
          </w:p>
        </w:tc>
        <w:tc>
          <w:tcPr>
            <w:tcW w:w="2127" w:type="dxa"/>
            <w:vMerge/>
          </w:tcPr>
          <w:p w:rsidR="00FF491E" w:rsidRPr="00ED613F" w:rsidRDefault="00FF491E" w:rsidP="00ED613F">
            <w:pPr>
              <w:rPr>
                <w:rFonts w:ascii="Times New Roman" w:eastAsia="MS Mincho" w:hAnsi="Times New Roman"/>
                <w:sz w:val="20"/>
                <w:szCs w:val="20"/>
              </w:rPr>
            </w:pPr>
          </w:p>
        </w:tc>
        <w:tc>
          <w:tcPr>
            <w:tcW w:w="1291" w:type="dxa"/>
          </w:tcPr>
          <w:p w:rsidR="00FF491E" w:rsidRPr="00ED613F" w:rsidRDefault="00FF491E" w:rsidP="00ED613F">
            <w:pPr>
              <w:jc w:val="center"/>
              <w:rPr>
                <w:rFonts w:ascii="Times New Roman" w:eastAsia="MS Mincho" w:hAnsi="Times New Roman"/>
                <w:b/>
                <w:sz w:val="20"/>
                <w:szCs w:val="20"/>
              </w:rPr>
            </w:pPr>
            <w:r w:rsidRPr="00ED613F">
              <w:rPr>
                <w:rFonts w:ascii="Times New Roman" w:eastAsia="MS Mincho" w:hAnsi="Times New Roman"/>
                <w:b/>
                <w:sz w:val="20"/>
                <w:szCs w:val="20"/>
              </w:rPr>
              <w:t>MR</w:t>
            </w:r>
          </w:p>
        </w:tc>
        <w:tc>
          <w:tcPr>
            <w:tcW w:w="6041" w:type="dxa"/>
          </w:tcPr>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Zasadne jest uzupełnienie OSR o dodatkowe analizy. Konieczne jest w szczególności przedstawienie w OSR wpływu projektowanej regulacji na sektor MMŚP, w tym analiz dotyczących możliwości poniesienia przez mikro-, małych i średnich przedsiębiorców kosztów związanych z dematerializacją (93,5% spółek akcyjnych i komandytowo-akcyjnych stanowią MMŚP).</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Wydaje się, że przedstawione w OSR koszty, które będą ponoszone przez spółki w związku z rejestrowaniem akcji w postaci zdematerializowanej, są zaniżone.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 xml:space="preserve">Zasadne byłoby także oszacowanie i przedstawienie kosztów związanych z utworzeniem systemów teleinformatycznych do obsługi rejestru akcjonariuszy, jak i kosztów dostosowania obecnie funkcjonującego systemu rejestracji zdematerializowanych akcji do projektowanych regulacji. Potrzeba ta wynika m.in. z wprowadzenia obowiązku dokonania, na żądanie, wpisu o ustanowieniu na akcji ograniczonego prawa rzeczowego na rachunkach papierów wartościowych, prowadzonych zgodnie z przepisami </w:t>
            </w:r>
            <w:proofErr w:type="spellStart"/>
            <w:r w:rsidRPr="00ED613F">
              <w:rPr>
                <w:rFonts w:ascii="Times New Roman" w:eastAsia="MS Mincho" w:hAnsi="Times New Roman"/>
                <w:sz w:val="20"/>
                <w:szCs w:val="20"/>
              </w:rPr>
              <w:t>u.o.i.f</w:t>
            </w:r>
            <w:proofErr w:type="spellEnd"/>
            <w:r w:rsidRPr="00ED613F">
              <w:rPr>
                <w:rFonts w:ascii="Times New Roman" w:eastAsia="MS Mincho" w:hAnsi="Times New Roman"/>
                <w:sz w:val="20"/>
                <w:szCs w:val="20"/>
              </w:rPr>
              <w:t xml:space="preserve">. Aktualnie system rozpoznaje jedynie zbycie prawa lub przeniesienie go na nabywcę pod innym tytułem prawnym. </w:t>
            </w:r>
          </w:p>
          <w:p w:rsidR="00FF491E" w:rsidRPr="00ED613F" w:rsidRDefault="00FF491E" w:rsidP="00ED613F">
            <w:pPr>
              <w:jc w:val="both"/>
              <w:rPr>
                <w:rFonts w:ascii="Times New Roman" w:eastAsia="MS Mincho" w:hAnsi="Times New Roman"/>
                <w:sz w:val="20"/>
                <w:szCs w:val="20"/>
              </w:rPr>
            </w:pPr>
            <w:r w:rsidRPr="00ED613F">
              <w:rPr>
                <w:rFonts w:ascii="Times New Roman" w:eastAsia="MS Mincho" w:hAnsi="Times New Roman"/>
                <w:sz w:val="20"/>
                <w:szCs w:val="20"/>
              </w:rPr>
              <w:t>Należałoby też uwzględnić w OSR koszty związane z realizacją obowiązków określonych w przepisach przejściowych, takich jak złożenie dokumentów akcji oraz pięciokrotne wezwanie akcjonariuszy przez spółkę w związku z obligatoryjną dematerializacją.</w:t>
            </w:r>
          </w:p>
        </w:tc>
        <w:tc>
          <w:tcPr>
            <w:tcW w:w="5436" w:type="dxa"/>
          </w:tcPr>
          <w:p w:rsidR="00FF491E" w:rsidRPr="00ED613F" w:rsidRDefault="00FF491E" w:rsidP="00ED613F">
            <w:pPr>
              <w:spacing w:line="276" w:lineRule="auto"/>
              <w:rPr>
                <w:rFonts w:ascii="Times New Roman" w:eastAsia="MS Mincho" w:hAnsi="Times New Roman"/>
                <w:sz w:val="20"/>
                <w:szCs w:val="20"/>
              </w:rPr>
            </w:pPr>
          </w:p>
        </w:tc>
      </w:tr>
    </w:tbl>
    <w:p w:rsidR="00FF491E" w:rsidRPr="00F54642" w:rsidRDefault="00FF491E"/>
    <w:sectPr w:rsidR="00FF491E" w:rsidRPr="00F54642" w:rsidSect="00702D38">
      <w:footerReference w:type="default" r:id="rId8"/>
      <w:pgSz w:w="16838" w:h="11906" w:orient="landscape"/>
      <w:pgMar w:top="720" w:right="720" w:bottom="720" w:left="720"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B4C" w:rsidRDefault="00F37B4C" w:rsidP="004054DE">
      <w:r>
        <w:separator/>
      </w:r>
    </w:p>
  </w:endnote>
  <w:endnote w:type="continuationSeparator" w:id="0">
    <w:p w:rsidR="00F37B4C" w:rsidRDefault="00F37B4C" w:rsidP="0040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E4E" w:rsidRDefault="00C40E4E">
    <w:pPr>
      <w:pStyle w:val="Stopka"/>
      <w:jc w:val="center"/>
    </w:pPr>
    <w:r>
      <w:fldChar w:fldCharType="begin"/>
    </w:r>
    <w:r>
      <w:instrText>PAGE   \* MERGEFORMAT</w:instrText>
    </w:r>
    <w:r>
      <w:fldChar w:fldCharType="separate"/>
    </w:r>
    <w:r w:rsidR="002F690F">
      <w:rPr>
        <w:noProof/>
      </w:rPr>
      <w:t>20</w:t>
    </w:r>
    <w:r>
      <w:rPr>
        <w:noProof/>
      </w:rPr>
      <w:fldChar w:fldCharType="end"/>
    </w:r>
  </w:p>
  <w:p w:rsidR="00C40E4E" w:rsidRDefault="00C40E4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B4C" w:rsidRDefault="00F37B4C" w:rsidP="004054DE">
      <w:r>
        <w:separator/>
      </w:r>
    </w:p>
  </w:footnote>
  <w:footnote w:type="continuationSeparator" w:id="0">
    <w:p w:rsidR="00F37B4C" w:rsidRDefault="00F37B4C" w:rsidP="004054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4DE"/>
    <w:rsid w:val="000003AA"/>
    <w:rsid w:val="000028DF"/>
    <w:rsid w:val="000029E1"/>
    <w:rsid w:val="000049D2"/>
    <w:rsid w:val="00004EA0"/>
    <w:rsid w:val="00005BB7"/>
    <w:rsid w:val="00006903"/>
    <w:rsid w:val="00011A2E"/>
    <w:rsid w:val="00011C84"/>
    <w:rsid w:val="000129DC"/>
    <w:rsid w:val="0001390E"/>
    <w:rsid w:val="00013AC2"/>
    <w:rsid w:val="000156D0"/>
    <w:rsid w:val="00020381"/>
    <w:rsid w:val="000258C8"/>
    <w:rsid w:val="0003329E"/>
    <w:rsid w:val="000333B6"/>
    <w:rsid w:val="000340A2"/>
    <w:rsid w:val="00036C33"/>
    <w:rsid w:val="00036D6E"/>
    <w:rsid w:val="000421D4"/>
    <w:rsid w:val="000438C3"/>
    <w:rsid w:val="000439D9"/>
    <w:rsid w:val="000444BD"/>
    <w:rsid w:val="00051695"/>
    <w:rsid w:val="00054615"/>
    <w:rsid w:val="00055BC3"/>
    <w:rsid w:val="0005647B"/>
    <w:rsid w:val="0005659E"/>
    <w:rsid w:val="0006236A"/>
    <w:rsid w:val="000625A8"/>
    <w:rsid w:val="00064AF0"/>
    <w:rsid w:val="000657A3"/>
    <w:rsid w:val="00066911"/>
    <w:rsid w:val="00067CDB"/>
    <w:rsid w:val="00070840"/>
    <w:rsid w:val="00070E03"/>
    <w:rsid w:val="00074B31"/>
    <w:rsid w:val="000765B4"/>
    <w:rsid w:val="0007693F"/>
    <w:rsid w:val="00080AB5"/>
    <w:rsid w:val="000849D6"/>
    <w:rsid w:val="000933C1"/>
    <w:rsid w:val="00093501"/>
    <w:rsid w:val="0009383D"/>
    <w:rsid w:val="00096A35"/>
    <w:rsid w:val="000A1870"/>
    <w:rsid w:val="000A2285"/>
    <w:rsid w:val="000B2211"/>
    <w:rsid w:val="000B344E"/>
    <w:rsid w:val="000B602B"/>
    <w:rsid w:val="000B6286"/>
    <w:rsid w:val="000C53B3"/>
    <w:rsid w:val="000C53EE"/>
    <w:rsid w:val="000D1FAA"/>
    <w:rsid w:val="000D3456"/>
    <w:rsid w:val="000D400A"/>
    <w:rsid w:val="000D70DE"/>
    <w:rsid w:val="000D74D2"/>
    <w:rsid w:val="000E0454"/>
    <w:rsid w:val="000E42E9"/>
    <w:rsid w:val="000E79E8"/>
    <w:rsid w:val="000F0FF2"/>
    <w:rsid w:val="000F5942"/>
    <w:rsid w:val="000F642A"/>
    <w:rsid w:val="001005B5"/>
    <w:rsid w:val="00101AAB"/>
    <w:rsid w:val="00101CDD"/>
    <w:rsid w:val="0010406A"/>
    <w:rsid w:val="00104356"/>
    <w:rsid w:val="001052AF"/>
    <w:rsid w:val="001061F0"/>
    <w:rsid w:val="0010722A"/>
    <w:rsid w:val="001078DE"/>
    <w:rsid w:val="00107A46"/>
    <w:rsid w:val="001106A0"/>
    <w:rsid w:val="00111BBF"/>
    <w:rsid w:val="001132A4"/>
    <w:rsid w:val="00114B0E"/>
    <w:rsid w:val="001200A9"/>
    <w:rsid w:val="00120680"/>
    <w:rsid w:val="001209B0"/>
    <w:rsid w:val="0012578D"/>
    <w:rsid w:val="00125BB8"/>
    <w:rsid w:val="00127C5C"/>
    <w:rsid w:val="001309E5"/>
    <w:rsid w:val="00134076"/>
    <w:rsid w:val="00135794"/>
    <w:rsid w:val="00137103"/>
    <w:rsid w:val="00137AF3"/>
    <w:rsid w:val="001411D0"/>
    <w:rsid w:val="00144D9C"/>
    <w:rsid w:val="001455B3"/>
    <w:rsid w:val="001479CD"/>
    <w:rsid w:val="001522C2"/>
    <w:rsid w:val="0015337E"/>
    <w:rsid w:val="001579C7"/>
    <w:rsid w:val="00162590"/>
    <w:rsid w:val="00166D17"/>
    <w:rsid w:val="001738D5"/>
    <w:rsid w:val="00176671"/>
    <w:rsid w:val="0018182A"/>
    <w:rsid w:val="00183100"/>
    <w:rsid w:val="00187A54"/>
    <w:rsid w:val="00192843"/>
    <w:rsid w:val="00194435"/>
    <w:rsid w:val="001958E9"/>
    <w:rsid w:val="00196567"/>
    <w:rsid w:val="00197FE2"/>
    <w:rsid w:val="001A018F"/>
    <w:rsid w:val="001A123F"/>
    <w:rsid w:val="001A2CC3"/>
    <w:rsid w:val="001A540A"/>
    <w:rsid w:val="001A695D"/>
    <w:rsid w:val="001B132E"/>
    <w:rsid w:val="001B2250"/>
    <w:rsid w:val="001B25C1"/>
    <w:rsid w:val="001B3348"/>
    <w:rsid w:val="001B4551"/>
    <w:rsid w:val="001B72FA"/>
    <w:rsid w:val="001B7307"/>
    <w:rsid w:val="001C0A64"/>
    <w:rsid w:val="001C3DDB"/>
    <w:rsid w:val="001D104F"/>
    <w:rsid w:val="001D2303"/>
    <w:rsid w:val="001D3240"/>
    <w:rsid w:val="001D7605"/>
    <w:rsid w:val="001D7956"/>
    <w:rsid w:val="001E00B2"/>
    <w:rsid w:val="001E0BAF"/>
    <w:rsid w:val="001E24A2"/>
    <w:rsid w:val="001E7422"/>
    <w:rsid w:val="001E7788"/>
    <w:rsid w:val="001F0A38"/>
    <w:rsid w:val="001F0B73"/>
    <w:rsid w:val="001F0D93"/>
    <w:rsid w:val="001F1075"/>
    <w:rsid w:val="001F3D99"/>
    <w:rsid w:val="001F4403"/>
    <w:rsid w:val="001F5AA7"/>
    <w:rsid w:val="001F69F6"/>
    <w:rsid w:val="001F6AFF"/>
    <w:rsid w:val="00201BE5"/>
    <w:rsid w:val="00202793"/>
    <w:rsid w:val="00206696"/>
    <w:rsid w:val="00207109"/>
    <w:rsid w:val="00207EE8"/>
    <w:rsid w:val="00210DB1"/>
    <w:rsid w:val="00211246"/>
    <w:rsid w:val="00211661"/>
    <w:rsid w:val="00211E3E"/>
    <w:rsid w:val="00212AE4"/>
    <w:rsid w:val="002131DB"/>
    <w:rsid w:val="0021515C"/>
    <w:rsid w:val="00216D5B"/>
    <w:rsid w:val="00217B39"/>
    <w:rsid w:val="00217BAE"/>
    <w:rsid w:val="00220567"/>
    <w:rsid w:val="00220899"/>
    <w:rsid w:val="002232DB"/>
    <w:rsid w:val="00224B6A"/>
    <w:rsid w:val="00225DFB"/>
    <w:rsid w:val="002264D2"/>
    <w:rsid w:val="00237F05"/>
    <w:rsid w:val="00242BEF"/>
    <w:rsid w:val="00243ED4"/>
    <w:rsid w:val="00243FE1"/>
    <w:rsid w:val="00246D9C"/>
    <w:rsid w:val="002479C0"/>
    <w:rsid w:val="00247B31"/>
    <w:rsid w:val="00253539"/>
    <w:rsid w:val="00253C08"/>
    <w:rsid w:val="00264CB9"/>
    <w:rsid w:val="00266A3F"/>
    <w:rsid w:val="00270B29"/>
    <w:rsid w:val="00272878"/>
    <w:rsid w:val="0027447B"/>
    <w:rsid w:val="002760AB"/>
    <w:rsid w:val="00276D5E"/>
    <w:rsid w:val="0027720C"/>
    <w:rsid w:val="002800BC"/>
    <w:rsid w:val="00280791"/>
    <w:rsid w:val="002848A5"/>
    <w:rsid w:val="00285E65"/>
    <w:rsid w:val="0028623C"/>
    <w:rsid w:val="00291CA8"/>
    <w:rsid w:val="0029218D"/>
    <w:rsid w:val="0029319F"/>
    <w:rsid w:val="002950DD"/>
    <w:rsid w:val="00296705"/>
    <w:rsid w:val="002A04CC"/>
    <w:rsid w:val="002A1377"/>
    <w:rsid w:val="002A4AFC"/>
    <w:rsid w:val="002A70B2"/>
    <w:rsid w:val="002B2B78"/>
    <w:rsid w:val="002B4D77"/>
    <w:rsid w:val="002B5702"/>
    <w:rsid w:val="002B66E8"/>
    <w:rsid w:val="002C2BF2"/>
    <w:rsid w:val="002C3AB8"/>
    <w:rsid w:val="002C3C81"/>
    <w:rsid w:val="002C50D7"/>
    <w:rsid w:val="002C78C4"/>
    <w:rsid w:val="002D2A54"/>
    <w:rsid w:val="002D4EED"/>
    <w:rsid w:val="002D5D7F"/>
    <w:rsid w:val="002D7805"/>
    <w:rsid w:val="002E0AE3"/>
    <w:rsid w:val="002E1319"/>
    <w:rsid w:val="002E1F8D"/>
    <w:rsid w:val="002E47AA"/>
    <w:rsid w:val="002E4D23"/>
    <w:rsid w:val="002E4E2B"/>
    <w:rsid w:val="002F1926"/>
    <w:rsid w:val="002F2EAB"/>
    <w:rsid w:val="002F505B"/>
    <w:rsid w:val="002F690F"/>
    <w:rsid w:val="002F6F16"/>
    <w:rsid w:val="003022E1"/>
    <w:rsid w:val="0030545E"/>
    <w:rsid w:val="00307DE9"/>
    <w:rsid w:val="003128F1"/>
    <w:rsid w:val="00315AE9"/>
    <w:rsid w:val="00320EE8"/>
    <w:rsid w:val="0032272C"/>
    <w:rsid w:val="00322DFB"/>
    <w:rsid w:val="003238CB"/>
    <w:rsid w:val="00326838"/>
    <w:rsid w:val="00326F4C"/>
    <w:rsid w:val="00327DC6"/>
    <w:rsid w:val="00335B20"/>
    <w:rsid w:val="003426AE"/>
    <w:rsid w:val="0034447E"/>
    <w:rsid w:val="00345594"/>
    <w:rsid w:val="0035386C"/>
    <w:rsid w:val="00356474"/>
    <w:rsid w:val="00360490"/>
    <w:rsid w:val="003616D2"/>
    <w:rsid w:val="00362C7B"/>
    <w:rsid w:val="003630E0"/>
    <w:rsid w:val="00363A01"/>
    <w:rsid w:val="00363D12"/>
    <w:rsid w:val="0036417C"/>
    <w:rsid w:val="00364DD7"/>
    <w:rsid w:val="00373C53"/>
    <w:rsid w:val="00376B64"/>
    <w:rsid w:val="00377113"/>
    <w:rsid w:val="00377DE4"/>
    <w:rsid w:val="003812AA"/>
    <w:rsid w:val="0038356C"/>
    <w:rsid w:val="0038473B"/>
    <w:rsid w:val="00385F76"/>
    <w:rsid w:val="003929F2"/>
    <w:rsid w:val="00392F7F"/>
    <w:rsid w:val="00395DBC"/>
    <w:rsid w:val="003A09EA"/>
    <w:rsid w:val="003A0A72"/>
    <w:rsid w:val="003A426E"/>
    <w:rsid w:val="003A4674"/>
    <w:rsid w:val="003A4DBD"/>
    <w:rsid w:val="003A64CA"/>
    <w:rsid w:val="003A6E4B"/>
    <w:rsid w:val="003B7CD4"/>
    <w:rsid w:val="003C1213"/>
    <w:rsid w:val="003C1F2D"/>
    <w:rsid w:val="003C227F"/>
    <w:rsid w:val="003C2F9D"/>
    <w:rsid w:val="003C655A"/>
    <w:rsid w:val="003D2681"/>
    <w:rsid w:val="003D4EE2"/>
    <w:rsid w:val="003D57D7"/>
    <w:rsid w:val="003D7F16"/>
    <w:rsid w:val="003D7F35"/>
    <w:rsid w:val="003E0A6C"/>
    <w:rsid w:val="003E2BFA"/>
    <w:rsid w:val="003E3B5D"/>
    <w:rsid w:val="003E7A6A"/>
    <w:rsid w:val="003F2A31"/>
    <w:rsid w:val="003F2F8E"/>
    <w:rsid w:val="003F3296"/>
    <w:rsid w:val="003F3B7E"/>
    <w:rsid w:val="003F6672"/>
    <w:rsid w:val="00400073"/>
    <w:rsid w:val="00401E8B"/>
    <w:rsid w:val="00403BC0"/>
    <w:rsid w:val="004054DE"/>
    <w:rsid w:val="00405FF0"/>
    <w:rsid w:val="00406127"/>
    <w:rsid w:val="00407EA6"/>
    <w:rsid w:val="00413117"/>
    <w:rsid w:val="0041479A"/>
    <w:rsid w:val="00416433"/>
    <w:rsid w:val="00417381"/>
    <w:rsid w:val="00425AB3"/>
    <w:rsid w:val="0042649F"/>
    <w:rsid w:val="004335B0"/>
    <w:rsid w:val="0043460C"/>
    <w:rsid w:val="004420CD"/>
    <w:rsid w:val="00442B41"/>
    <w:rsid w:val="00443B53"/>
    <w:rsid w:val="00443EB0"/>
    <w:rsid w:val="00444D00"/>
    <w:rsid w:val="0044589C"/>
    <w:rsid w:val="00446095"/>
    <w:rsid w:val="0045046B"/>
    <w:rsid w:val="00451CCC"/>
    <w:rsid w:val="00451D8B"/>
    <w:rsid w:val="00455657"/>
    <w:rsid w:val="00456AFD"/>
    <w:rsid w:val="0045748E"/>
    <w:rsid w:val="00460196"/>
    <w:rsid w:val="00460225"/>
    <w:rsid w:val="0046240A"/>
    <w:rsid w:val="00462F1B"/>
    <w:rsid w:val="00464A49"/>
    <w:rsid w:val="00466623"/>
    <w:rsid w:val="00475AF1"/>
    <w:rsid w:val="00476601"/>
    <w:rsid w:val="00477BD9"/>
    <w:rsid w:val="00480E32"/>
    <w:rsid w:val="00483BBE"/>
    <w:rsid w:val="004921B3"/>
    <w:rsid w:val="004A3910"/>
    <w:rsid w:val="004A3AA3"/>
    <w:rsid w:val="004A4BDE"/>
    <w:rsid w:val="004A793D"/>
    <w:rsid w:val="004B02BF"/>
    <w:rsid w:val="004B0436"/>
    <w:rsid w:val="004B07A3"/>
    <w:rsid w:val="004B63F7"/>
    <w:rsid w:val="004B6CEA"/>
    <w:rsid w:val="004C4381"/>
    <w:rsid w:val="004C4D8F"/>
    <w:rsid w:val="004C69DD"/>
    <w:rsid w:val="004D08F5"/>
    <w:rsid w:val="004D0C05"/>
    <w:rsid w:val="004D206C"/>
    <w:rsid w:val="004D3ED9"/>
    <w:rsid w:val="004D59BB"/>
    <w:rsid w:val="004D754E"/>
    <w:rsid w:val="004E03BA"/>
    <w:rsid w:val="004E3B55"/>
    <w:rsid w:val="004E3D7D"/>
    <w:rsid w:val="004F049C"/>
    <w:rsid w:val="004F0E39"/>
    <w:rsid w:val="004F3152"/>
    <w:rsid w:val="004F57EB"/>
    <w:rsid w:val="004F6609"/>
    <w:rsid w:val="004F7662"/>
    <w:rsid w:val="005008EB"/>
    <w:rsid w:val="00511739"/>
    <w:rsid w:val="005119D2"/>
    <w:rsid w:val="00511C5E"/>
    <w:rsid w:val="00511DC7"/>
    <w:rsid w:val="00512B43"/>
    <w:rsid w:val="00515EFE"/>
    <w:rsid w:val="0051614C"/>
    <w:rsid w:val="005203C3"/>
    <w:rsid w:val="00520D77"/>
    <w:rsid w:val="00522A70"/>
    <w:rsid w:val="00523D75"/>
    <w:rsid w:val="00524C80"/>
    <w:rsid w:val="00525482"/>
    <w:rsid w:val="00530F8F"/>
    <w:rsid w:val="00536EEC"/>
    <w:rsid w:val="00537942"/>
    <w:rsid w:val="00543279"/>
    <w:rsid w:val="00545623"/>
    <w:rsid w:val="005456B6"/>
    <w:rsid w:val="00545D2E"/>
    <w:rsid w:val="005466F5"/>
    <w:rsid w:val="005505DA"/>
    <w:rsid w:val="005516A3"/>
    <w:rsid w:val="0055474B"/>
    <w:rsid w:val="0055593C"/>
    <w:rsid w:val="00556877"/>
    <w:rsid w:val="005569D6"/>
    <w:rsid w:val="00556CA1"/>
    <w:rsid w:val="00557795"/>
    <w:rsid w:val="00561D07"/>
    <w:rsid w:val="00563C8F"/>
    <w:rsid w:val="00564867"/>
    <w:rsid w:val="00567F13"/>
    <w:rsid w:val="00570E11"/>
    <w:rsid w:val="0057353B"/>
    <w:rsid w:val="00573792"/>
    <w:rsid w:val="005747A3"/>
    <w:rsid w:val="005757AE"/>
    <w:rsid w:val="00580542"/>
    <w:rsid w:val="00580A74"/>
    <w:rsid w:val="00581365"/>
    <w:rsid w:val="0058193B"/>
    <w:rsid w:val="00582D94"/>
    <w:rsid w:val="00583C32"/>
    <w:rsid w:val="00583FAE"/>
    <w:rsid w:val="00586C50"/>
    <w:rsid w:val="005878BF"/>
    <w:rsid w:val="00591555"/>
    <w:rsid w:val="00594482"/>
    <w:rsid w:val="00594B51"/>
    <w:rsid w:val="00596339"/>
    <w:rsid w:val="005A1497"/>
    <w:rsid w:val="005A4649"/>
    <w:rsid w:val="005A6052"/>
    <w:rsid w:val="005B088A"/>
    <w:rsid w:val="005C00A8"/>
    <w:rsid w:val="005C23C7"/>
    <w:rsid w:val="005C50D1"/>
    <w:rsid w:val="005C60A2"/>
    <w:rsid w:val="005D2A95"/>
    <w:rsid w:val="005D2B6B"/>
    <w:rsid w:val="005E15ED"/>
    <w:rsid w:val="005E2263"/>
    <w:rsid w:val="005E3F29"/>
    <w:rsid w:val="005E7083"/>
    <w:rsid w:val="005F1D4A"/>
    <w:rsid w:val="005F1DF6"/>
    <w:rsid w:val="005F4BCF"/>
    <w:rsid w:val="005F6779"/>
    <w:rsid w:val="005F7F86"/>
    <w:rsid w:val="00600B13"/>
    <w:rsid w:val="0060154A"/>
    <w:rsid w:val="00601BAD"/>
    <w:rsid w:val="006101F0"/>
    <w:rsid w:val="00613B3A"/>
    <w:rsid w:val="006146C6"/>
    <w:rsid w:val="00614A29"/>
    <w:rsid w:val="00614ECD"/>
    <w:rsid w:val="00615A9E"/>
    <w:rsid w:val="00617317"/>
    <w:rsid w:val="006177C9"/>
    <w:rsid w:val="00625C88"/>
    <w:rsid w:val="00627C7B"/>
    <w:rsid w:val="00630671"/>
    <w:rsid w:val="006308CF"/>
    <w:rsid w:val="00631E67"/>
    <w:rsid w:val="00632CBC"/>
    <w:rsid w:val="00640DC8"/>
    <w:rsid w:val="00641028"/>
    <w:rsid w:val="00643404"/>
    <w:rsid w:val="00647CB0"/>
    <w:rsid w:val="00655431"/>
    <w:rsid w:val="006629CB"/>
    <w:rsid w:val="00670351"/>
    <w:rsid w:val="006722CA"/>
    <w:rsid w:val="00675559"/>
    <w:rsid w:val="00676A6D"/>
    <w:rsid w:val="00676F36"/>
    <w:rsid w:val="00680BC9"/>
    <w:rsid w:val="00683809"/>
    <w:rsid w:val="00687779"/>
    <w:rsid w:val="00692BAA"/>
    <w:rsid w:val="00693C37"/>
    <w:rsid w:val="006945A7"/>
    <w:rsid w:val="00697847"/>
    <w:rsid w:val="006B11A1"/>
    <w:rsid w:val="006B3C1C"/>
    <w:rsid w:val="006B543D"/>
    <w:rsid w:val="006B55B7"/>
    <w:rsid w:val="006B70ED"/>
    <w:rsid w:val="006B757E"/>
    <w:rsid w:val="006C0537"/>
    <w:rsid w:val="006C19A9"/>
    <w:rsid w:val="006C3352"/>
    <w:rsid w:val="006C60C1"/>
    <w:rsid w:val="006C6532"/>
    <w:rsid w:val="006D2299"/>
    <w:rsid w:val="006D3724"/>
    <w:rsid w:val="006D53A5"/>
    <w:rsid w:val="006E0028"/>
    <w:rsid w:val="006E1A3E"/>
    <w:rsid w:val="006E2CBD"/>
    <w:rsid w:val="006E34E5"/>
    <w:rsid w:val="006E59A5"/>
    <w:rsid w:val="006E6154"/>
    <w:rsid w:val="006E65B6"/>
    <w:rsid w:val="006E6949"/>
    <w:rsid w:val="006E7F0B"/>
    <w:rsid w:val="006F0947"/>
    <w:rsid w:val="006F0A26"/>
    <w:rsid w:val="006F1EFF"/>
    <w:rsid w:val="006F3B0C"/>
    <w:rsid w:val="006F6473"/>
    <w:rsid w:val="00700A06"/>
    <w:rsid w:val="00701CF0"/>
    <w:rsid w:val="00702D38"/>
    <w:rsid w:val="00703154"/>
    <w:rsid w:val="0071306A"/>
    <w:rsid w:val="00714028"/>
    <w:rsid w:val="00714980"/>
    <w:rsid w:val="0072234E"/>
    <w:rsid w:val="00722BB6"/>
    <w:rsid w:val="0072454A"/>
    <w:rsid w:val="00724C2A"/>
    <w:rsid w:val="0072687A"/>
    <w:rsid w:val="00727BFB"/>
    <w:rsid w:val="00733CBB"/>
    <w:rsid w:val="00734D1A"/>
    <w:rsid w:val="007351AB"/>
    <w:rsid w:val="00746108"/>
    <w:rsid w:val="00750644"/>
    <w:rsid w:val="007515FB"/>
    <w:rsid w:val="00754A64"/>
    <w:rsid w:val="00756A8A"/>
    <w:rsid w:val="007620A8"/>
    <w:rsid w:val="007650BE"/>
    <w:rsid w:val="007653B6"/>
    <w:rsid w:val="007655D4"/>
    <w:rsid w:val="00766F8C"/>
    <w:rsid w:val="00767BC3"/>
    <w:rsid w:val="00770626"/>
    <w:rsid w:val="0077092A"/>
    <w:rsid w:val="00774718"/>
    <w:rsid w:val="00775C69"/>
    <w:rsid w:val="00781A33"/>
    <w:rsid w:val="00782554"/>
    <w:rsid w:val="00782EA9"/>
    <w:rsid w:val="00784926"/>
    <w:rsid w:val="00785966"/>
    <w:rsid w:val="00786BC7"/>
    <w:rsid w:val="0079289B"/>
    <w:rsid w:val="00794E70"/>
    <w:rsid w:val="00795703"/>
    <w:rsid w:val="00795B85"/>
    <w:rsid w:val="00796D77"/>
    <w:rsid w:val="007A3446"/>
    <w:rsid w:val="007A4373"/>
    <w:rsid w:val="007A5BE5"/>
    <w:rsid w:val="007B01EA"/>
    <w:rsid w:val="007B0730"/>
    <w:rsid w:val="007B0F29"/>
    <w:rsid w:val="007B4B8B"/>
    <w:rsid w:val="007B5690"/>
    <w:rsid w:val="007C74AE"/>
    <w:rsid w:val="007D1A2B"/>
    <w:rsid w:val="007D1B42"/>
    <w:rsid w:val="007D553C"/>
    <w:rsid w:val="007E0692"/>
    <w:rsid w:val="007E2DC1"/>
    <w:rsid w:val="007E4828"/>
    <w:rsid w:val="007E62A8"/>
    <w:rsid w:val="007E76C7"/>
    <w:rsid w:val="007F14FE"/>
    <w:rsid w:val="007F239D"/>
    <w:rsid w:val="007F3665"/>
    <w:rsid w:val="007F3E9A"/>
    <w:rsid w:val="007F5034"/>
    <w:rsid w:val="007F5B61"/>
    <w:rsid w:val="007F6133"/>
    <w:rsid w:val="00801DF3"/>
    <w:rsid w:val="00804359"/>
    <w:rsid w:val="00807438"/>
    <w:rsid w:val="00816EA0"/>
    <w:rsid w:val="00824A3C"/>
    <w:rsid w:val="0082559B"/>
    <w:rsid w:val="00826224"/>
    <w:rsid w:val="00826871"/>
    <w:rsid w:val="00830DB5"/>
    <w:rsid w:val="00834182"/>
    <w:rsid w:val="00835619"/>
    <w:rsid w:val="008447FF"/>
    <w:rsid w:val="00844EF6"/>
    <w:rsid w:val="0084538C"/>
    <w:rsid w:val="008453C5"/>
    <w:rsid w:val="00845468"/>
    <w:rsid w:val="0085023B"/>
    <w:rsid w:val="00850CFA"/>
    <w:rsid w:val="008540F8"/>
    <w:rsid w:val="00862880"/>
    <w:rsid w:val="00862B46"/>
    <w:rsid w:val="00862E89"/>
    <w:rsid w:val="00865246"/>
    <w:rsid w:val="00867CF5"/>
    <w:rsid w:val="00875189"/>
    <w:rsid w:val="008754EA"/>
    <w:rsid w:val="008768CA"/>
    <w:rsid w:val="0087699E"/>
    <w:rsid w:val="0087762C"/>
    <w:rsid w:val="00877C3F"/>
    <w:rsid w:val="00881609"/>
    <w:rsid w:val="008819B3"/>
    <w:rsid w:val="00883E83"/>
    <w:rsid w:val="00887713"/>
    <w:rsid w:val="00887D4B"/>
    <w:rsid w:val="00893408"/>
    <w:rsid w:val="0089425E"/>
    <w:rsid w:val="0089638A"/>
    <w:rsid w:val="008975FC"/>
    <w:rsid w:val="008A23DF"/>
    <w:rsid w:val="008A3357"/>
    <w:rsid w:val="008A337C"/>
    <w:rsid w:val="008A5E58"/>
    <w:rsid w:val="008A5E64"/>
    <w:rsid w:val="008B216E"/>
    <w:rsid w:val="008B299C"/>
    <w:rsid w:val="008B408F"/>
    <w:rsid w:val="008B6457"/>
    <w:rsid w:val="008C2339"/>
    <w:rsid w:val="008C2EB9"/>
    <w:rsid w:val="008C2ED7"/>
    <w:rsid w:val="008C32CA"/>
    <w:rsid w:val="008C656A"/>
    <w:rsid w:val="008C66D0"/>
    <w:rsid w:val="008C6A80"/>
    <w:rsid w:val="008C71A9"/>
    <w:rsid w:val="008C7846"/>
    <w:rsid w:val="008D0824"/>
    <w:rsid w:val="008D2611"/>
    <w:rsid w:val="008D4DD4"/>
    <w:rsid w:val="008D59DA"/>
    <w:rsid w:val="008E10E3"/>
    <w:rsid w:val="008E31CF"/>
    <w:rsid w:val="008E3E8B"/>
    <w:rsid w:val="008E426C"/>
    <w:rsid w:val="008E5C65"/>
    <w:rsid w:val="008E72CA"/>
    <w:rsid w:val="008E7A1A"/>
    <w:rsid w:val="008F17F3"/>
    <w:rsid w:val="008F2E00"/>
    <w:rsid w:val="008F3284"/>
    <w:rsid w:val="008F6DD7"/>
    <w:rsid w:val="008F6EBE"/>
    <w:rsid w:val="008F7B59"/>
    <w:rsid w:val="008F7C17"/>
    <w:rsid w:val="00900D2F"/>
    <w:rsid w:val="00902745"/>
    <w:rsid w:val="009052A3"/>
    <w:rsid w:val="0090676F"/>
    <w:rsid w:val="00907E19"/>
    <w:rsid w:val="00910D1F"/>
    <w:rsid w:val="009119F1"/>
    <w:rsid w:val="0091451D"/>
    <w:rsid w:val="00914AE3"/>
    <w:rsid w:val="009161D3"/>
    <w:rsid w:val="0091726A"/>
    <w:rsid w:val="009202F7"/>
    <w:rsid w:val="00920B86"/>
    <w:rsid w:val="009214A5"/>
    <w:rsid w:val="00924D6B"/>
    <w:rsid w:val="009255B0"/>
    <w:rsid w:val="00926B23"/>
    <w:rsid w:val="009313B7"/>
    <w:rsid w:val="00933835"/>
    <w:rsid w:val="00934BD1"/>
    <w:rsid w:val="00935827"/>
    <w:rsid w:val="00937BBD"/>
    <w:rsid w:val="00940F33"/>
    <w:rsid w:val="00941B88"/>
    <w:rsid w:val="0094403A"/>
    <w:rsid w:val="0094718D"/>
    <w:rsid w:val="0095450B"/>
    <w:rsid w:val="0096066C"/>
    <w:rsid w:val="009608EA"/>
    <w:rsid w:val="0096235C"/>
    <w:rsid w:val="00962A67"/>
    <w:rsid w:val="00963770"/>
    <w:rsid w:val="00963B49"/>
    <w:rsid w:val="00965618"/>
    <w:rsid w:val="00966C54"/>
    <w:rsid w:val="00971726"/>
    <w:rsid w:val="00973540"/>
    <w:rsid w:val="00976082"/>
    <w:rsid w:val="00976673"/>
    <w:rsid w:val="00977E99"/>
    <w:rsid w:val="009806AB"/>
    <w:rsid w:val="00981678"/>
    <w:rsid w:val="00983803"/>
    <w:rsid w:val="0099044E"/>
    <w:rsid w:val="00990E2A"/>
    <w:rsid w:val="00994048"/>
    <w:rsid w:val="00994500"/>
    <w:rsid w:val="009959F6"/>
    <w:rsid w:val="00995CC1"/>
    <w:rsid w:val="009A06FE"/>
    <w:rsid w:val="009A3565"/>
    <w:rsid w:val="009A3F9B"/>
    <w:rsid w:val="009A4857"/>
    <w:rsid w:val="009A4D5A"/>
    <w:rsid w:val="009A5E60"/>
    <w:rsid w:val="009A5F3A"/>
    <w:rsid w:val="009A7B3C"/>
    <w:rsid w:val="009B1604"/>
    <w:rsid w:val="009B3419"/>
    <w:rsid w:val="009B6878"/>
    <w:rsid w:val="009C2B19"/>
    <w:rsid w:val="009C316E"/>
    <w:rsid w:val="009C4316"/>
    <w:rsid w:val="009C5516"/>
    <w:rsid w:val="009D0869"/>
    <w:rsid w:val="009D0985"/>
    <w:rsid w:val="009D4783"/>
    <w:rsid w:val="009D5BDE"/>
    <w:rsid w:val="009D7652"/>
    <w:rsid w:val="009E042E"/>
    <w:rsid w:val="009E170E"/>
    <w:rsid w:val="009E183F"/>
    <w:rsid w:val="009E26DB"/>
    <w:rsid w:val="009E4862"/>
    <w:rsid w:val="009F2C20"/>
    <w:rsid w:val="009F5F17"/>
    <w:rsid w:val="009F5FFE"/>
    <w:rsid w:val="00A004B3"/>
    <w:rsid w:val="00A01FC2"/>
    <w:rsid w:val="00A03077"/>
    <w:rsid w:val="00A034AE"/>
    <w:rsid w:val="00A04A1D"/>
    <w:rsid w:val="00A0588C"/>
    <w:rsid w:val="00A06C2F"/>
    <w:rsid w:val="00A073DB"/>
    <w:rsid w:val="00A1100F"/>
    <w:rsid w:val="00A13A73"/>
    <w:rsid w:val="00A14EA4"/>
    <w:rsid w:val="00A17E17"/>
    <w:rsid w:val="00A23398"/>
    <w:rsid w:val="00A24470"/>
    <w:rsid w:val="00A24800"/>
    <w:rsid w:val="00A25DCD"/>
    <w:rsid w:val="00A2639E"/>
    <w:rsid w:val="00A278BD"/>
    <w:rsid w:val="00A32E0E"/>
    <w:rsid w:val="00A33FF7"/>
    <w:rsid w:val="00A344A7"/>
    <w:rsid w:val="00A35C0D"/>
    <w:rsid w:val="00A36A06"/>
    <w:rsid w:val="00A4101B"/>
    <w:rsid w:val="00A41419"/>
    <w:rsid w:val="00A423A7"/>
    <w:rsid w:val="00A42DBB"/>
    <w:rsid w:val="00A43E0F"/>
    <w:rsid w:val="00A450B4"/>
    <w:rsid w:val="00A47A73"/>
    <w:rsid w:val="00A50AF2"/>
    <w:rsid w:val="00A521D0"/>
    <w:rsid w:val="00A52435"/>
    <w:rsid w:val="00A5485B"/>
    <w:rsid w:val="00A57AF2"/>
    <w:rsid w:val="00A61417"/>
    <w:rsid w:val="00A626B8"/>
    <w:rsid w:val="00A62CD6"/>
    <w:rsid w:val="00A65445"/>
    <w:rsid w:val="00A6552C"/>
    <w:rsid w:val="00A77864"/>
    <w:rsid w:val="00A80F7B"/>
    <w:rsid w:val="00A85C87"/>
    <w:rsid w:val="00A9439B"/>
    <w:rsid w:val="00A97168"/>
    <w:rsid w:val="00A97215"/>
    <w:rsid w:val="00A979AE"/>
    <w:rsid w:val="00AA0255"/>
    <w:rsid w:val="00AA0998"/>
    <w:rsid w:val="00AA243F"/>
    <w:rsid w:val="00AA2ACC"/>
    <w:rsid w:val="00AA43F9"/>
    <w:rsid w:val="00AA58FE"/>
    <w:rsid w:val="00AB08EA"/>
    <w:rsid w:val="00AB65B5"/>
    <w:rsid w:val="00AC1718"/>
    <w:rsid w:val="00AC6890"/>
    <w:rsid w:val="00AC739B"/>
    <w:rsid w:val="00AC78B8"/>
    <w:rsid w:val="00AD2FD3"/>
    <w:rsid w:val="00AD32A5"/>
    <w:rsid w:val="00AD3F08"/>
    <w:rsid w:val="00AD43A9"/>
    <w:rsid w:val="00AE0E80"/>
    <w:rsid w:val="00AE1EBE"/>
    <w:rsid w:val="00AE2CD1"/>
    <w:rsid w:val="00AE7C6D"/>
    <w:rsid w:val="00AF0F07"/>
    <w:rsid w:val="00AF1028"/>
    <w:rsid w:val="00AF2636"/>
    <w:rsid w:val="00AF3FBA"/>
    <w:rsid w:val="00AF6C4F"/>
    <w:rsid w:val="00AF7919"/>
    <w:rsid w:val="00B008BB"/>
    <w:rsid w:val="00B075AF"/>
    <w:rsid w:val="00B11F0D"/>
    <w:rsid w:val="00B12AF8"/>
    <w:rsid w:val="00B154AD"/>
    <w:rsid w:val="00B20375"/>
    <w:rsid w:val="00B2057A"/>
    <w:rsid w:val="00B21483"/>
    <w:rsid w:val="00B2235D"/>
    <w:rsid w:val="00B33708"/>
    <w:rsid w:val="00B4034B"/>
    <w:rsid w:val="00B42E22"/>
    <w:rsid w:val="00B4312D"/>
    <w:rsid w:val="00B434CC"/>
    <w:rsid w:val="00B44A93"/>
    <w:rsid w:val="00B45739"/>
    <w:rsid w:val="00B505C9"/>
    <w:rsid w:val="00B51E48"/>
    <w:rsid w:val="00B53547"/>
    <w:rsid w:val="00B54A03"/>
    <w:rsid w:val="00B56A43"/>
    <w:rsid w:val="00B60169"/>
    <w:rsid w:val="00B60D8B"/>
    <w:rsid w:val="00B71F61"/>
    <w:rsid w:val="00B80B75"/>
    <w:rsid w:val="00B80F9A"/>
    <w:rsid w:val="00B81CBF"/>
    <w:rsid w:val="00B82B91"/>
    <w:rsid w:val="00B91DB3"/>
    <w:rsid w:val="00BA0A0E"/>
    <w:rsid w:val="00BA4282"/>
    <w:rsid w:val="00BA7B11"/>
    <w:rsid w:val="00BB0145"/>
    <w:rsid w:val="00BB116A"/>
    <w:rsid w:val="00BB14F8"/>
    <w:rsid w:val="00BB1695"/>
    <w:rsid w:val="00BB1B1E"/>
    <w:rsid w:val="00BB1C57"/>
    <w:rsid w:val="00BB20CF"/>
    <w:rsid w:val="00BB35BE"/>
    <w:rsid w:val="00BB3C65"/>
    <w:rsid w:val="00BB4884"/>
    <w:rsid w:val="00BC1CA8"/>
    <w:rsid w:val="00BC4233"/>
    <w:rsid w:val="00BC46B3"/>
    <w:rsid w:val="00BC54EA"/>
    <w:rsid w:val="00BC5925"/>
    <w:rsid w:val="00BC63B2"/>
    <w:rsid w:val="00BD0B99"/>
    <w:rsid w:val="00BD1754"/>
    <w:rsid w:val="00BD5B40"/>
    <w:rsid w:val="00BD63D7"/>
    <w:rsid w:val="00BD778F"/>
    <w:rsid w:val="00BE1041"/>
    <w:rsid w:val="00BF296B"/>
    <w:rsid w:val="00BF4085"/>
    <w:rsid w:val="00BF51F7"/>
    <w:rsid w:val="00BF66D9"/>
    <w:rsid w:val="00C00165"/>
    <w:rsid w:val="00C06A06"/>
    <w:rsid w:val="00C07A70"/>
    <w:rsid w:val="00C10416"/>
    <w:rsid w:val="00C11207"/>
    <w:rsid w:val="00C11855"/>
    <w:rsid w:val="00C118BD"/>
    <w:rsid w:val="00C13039"/>
    <w:rsid w:val="00C130D7"/>
    <w:rsid w:val="00C152C4"/>
    <w:rsid w:val="00C2067E"/>
    <w:rsid w:val="00C21D54"/>
    <w:rsid w:val="00C221A5"/>
    <w:rsid w:val="00C23CB0"/>
    <w:rsid w:val="00C2791D"/>
    <w:rsid w:val="00C309EA"/>
    <w:rsid w:val="00C30DE3"/>
    <w:rsid w:val="00C3288A"/>
    <w:rsid w:val="00C343C0"/>
    <w:rsid w:val="00C35B5F"/>
    <w:rsid w:val="00C35EE6"/>
    <w:rsid w:val="00C36193"/>
    <w:rsid w:val="00C40C56"/>
    <w:rsid w:val="00C40E4E"/>
    <w:rsid w:val="00C421B0"/>
    <w:rsid w:val="00C439F2"/>
    <w:rsid w:val="00C44EA7"/>
    <w:rsid w:val="00C459A6"/>
    <w:rsid w:val="00C4695D"/>
    <w:rsid w:val="00C4781D"/>
    <w:rsid w:val="00C5154A"/>
    <w:rsid w:val="00C51884"/>
    <w:rsid w:val="00C5777F"/>
    <w:rsid w:val="00C63DA8"/>
    <w:rsid w:val="00C65D96"/>
    <w:rsid w:val="00C670D4"/>
    <w:rsid w:val="00C67A02"/>
    <w:rsid w:val="00C70600"/>
    <w:rsid w:val="00C728B3"/>
    <w:rsid w:val="00C748A9"/>
    <w:rsid w:val="00C75216"/>
    <w:rsid w:val="00C76C87"/>
    <w:rsid w:val="00C7755E"/>
    <w:rsid w:val="00C81849"/>
    <w:rsid w:val="00C81982"/>
    <w:rsid w:val="00C84406"/>
    <w:rsid w:val="00C87DEC"/>
    <w:rsid w:val="00C87FD0"/>
    <w:rsid w:val="00C95B51"/>
    <w:rsid w:val="00CA1D31"/>
    <w:rsid w:val="00CA549F"/>
    <w:rsid w:val="00CA68BA"/>
    <w:rsid w:val="00CB11BB"/>
    <w:rsid w:val="00CB616D"/>
    <w:rsid w:val="00CB6C84"/>
    <w:rsid w:val="00CB6CD5"/>
    <w:rsid w:val="00CB7700"/>
    <w:rsid w:val="00CB7E40"/>
    <w:rsid w:val="00CC1289"/>
    <w:rsid w:val="00CC6E5B"/>
    <w:rsid w:val="00CD1A92"/>
    <w:rsid w:val="00CD1DC0"/>
    <w:rsid w:val="00CD5FBA"/>
    <w:rsid w:val="00CD6CF5"/>
    <w:rsid w:val="00CD77B5"/>
    <w:rsid w:val="00CE01D5"/>
    <w:rsid w:val="00CE0248"/>
    <w:rsid w:val="00CE4A48"/>
    <w:rsid w:val="00CE700F"/>
    <w:rsid w:val="00CE722E"/>
    <w:rsid w:val="00CE7B0B"/>
    <w:rsid w:val="00CF3B97"/>
    <w:rsid w:val="00CF4B22"/>
    <w:rsid w:val="00D00163"/>
    <w:rsid w:val="00D003EB"/>
    <w:rsid w:val="00D05127"/>
    <w:rsid w:val="00D05E5F"/>
    <w:rsid w:val="00D07F68"/>
    <w:rsid w:val="00D107E1"/>
    <w:rsid w:val="00D11558"/>
    <w:rsid w:val="00D12FE9"/>
    <w:rsid w:val="00D14105"/>
    <w:rsid w:val="00D179FB"/>
    <w:rsid w:val="00D17AFA"/>
    <w:rsid w:val="00D210AA"/>
    <w:rsid w:val="00D2399C"/>
    <w:rsid w:val="00D261E7"/>
    <w:rsid w:val="00D26AA2"/>
    <w:rsid w:val="00D276C4"/>
    <w:rsid w:val="00D321A6"/>
    <w:rsid w:val="00D33CBE"/>
    <w:rsid w:val="00D35DA9"/>
    <w:rsid w:val="00D41F96"/>
    <w:rsid w:val="00D423F4"/>
    <w:rsid w:val="00D4677B"/>
    <w:rsid w:val="00D5070F"/>
    <w:rsid w:val="00D52467"/>
    <w:rsid w:val="00D53750"/>
    <w:rsid w:val="00D538A4"/>
    <w:rsid w:val="00D60BC0"/>
    <w:rsid w:val="00D6185A"/>
    <w:rsid w:val="00D61A1F"/>
    <w:rsid w:val="00D64F5F"/>
    <w:rsid w:val="00D65929"/>
    <w:rsid w:val="00D67EFB"/>
    <w:rsid w:val="00D72F78"/>
    <w:rsid w:val="00D73A4C"/>
    <w:rsid w:val="00D77C0B"/>
    <w:rsid w:val="00D80DE1"/>
    <w:rsid w:val="00D815FA"/>
    <w:rsid w:val="00D81790"/>
    <w:rsid w:val="00D81E8E"/>
    <w:rsid w:val="00D820CF"/>
    <w:rsid w:val="00D8238D"/>
    <w:rsid w:val="00D82AE7"/>
    <w:rsid w:val="00D84686"/>
    <w:rsid w:val="00D908D8"/>
    <w:rsid w:val="00D9097F"/>
    <w:rsid w:val="00D930A2"/>
    <w:rsid w:val="00D9443E"/>
    <w:rsid w:val="00D94BDF"/>
    <w:rsid w:val="00D96CA8"/>
    <w:rsid w:val="00DA0CEC"/>
    <w:rsid w:val="00DA11F2"/>
    <w:rsid w:val="00DA1C8A"/>
    <w:rsid w:val="00DA3DCF"/>
    <w:rsid w:val="00DA4A9E"/>
    <w:rsid w:val="00DA6BC5"/>
    <w:rsid w:val="00DA7F6C"/>
    <w:rsid w:val="00DB3FB7"/>
    <w:rsid w:val="00DB4D94"/>
    <w:rsid w:val="00DB77E7"/>
    <w:rsid w:val="00DC3638"/>
    <w:rsid w:val="00DC786C"/>
    <w:rsid w:val="00DC7E88"/>
    <w:rsid w:val="00DD354E"/>
    <w:rsid w:val="00DD62CD"/>
    <w:rsid w:val="00DE1F7B"/>
    <w:rsid w:val="00DE2242"/>
    <w:rsid w:val="00DE2A35"/>
    <w:rsid w:val="00DE4875"/>
    <w:rsid w:val="00DE4CCF"/>
    <w:rsid w:val="00DE560A"/>
    <w:rsid w:val="00DF10F3"/>
    <w:rsid w:val="00DF2700"/>
    <w:rsid w:val="00DF5133"/>
    <w:rsid w:val="00DF5544"/>
    <w:rsid w:val="00DF5653"/>
    <w:rsid w:val="00E01832"/>
    <w:rsid w:val="00E02D2E"/>
    <w:rsid w:val="00E04465"/>
    <w:rsid w:val="00E0519F"/>
    <w:rsid w:val="00E05442"/>
    <w:rsid w:val="00E05484"/>
    <w:rsid w:val="00E07A6C"/>
    <w:rsid w:val="00E13358"/>
    <w:rsid w:val="00E15310"/>
    <w:rsid w:val="00E154D2"/>
    <w:rsid w:val="00E2033A"/>
    <w:rsid w:val="00E21809"/>
    <w:rsid w:val="00E22EAF"/>
    <w:rsid w:val="00E254F5"/>
    <w:rsid w:val="00E262BC"/>
    <w:rsid w:val="00E2671C"/>
    <w:rsid w:val="00E27BDB"/>
    <w:rsid w:val="00E305AB"/>
    <w:rsid w:val="00E3277D"/>
    <w:rsid w:val="00E3290B"/>
    <w:rsid w:val="00E40E3E"/>
    <w:rsid w:val="00E41AAA"/>
    <w:rsid w:val="00E41BBC"/>
    <w:rsid w:val="00E4280D"/>
    <w:rsid w:val="00E432E4"/>
    <w:rsid w:val="00E43308"/>
    <w:rsid w:val="00E43AD6"/>
    <w:rsid w:val="00E50493"/>
    <w:rsid w:val="00E504E6"/>
    <w:rsid w:val="00E50516"/>
    <w:rsid w:val="00E50F49"/>
    <w:rsid w:val="00E60961"/>
    <w:rsid w:val="00E61C0A"/>
    <w:rsid w:val="00E62B8A"/>
    <w:rsid w:val="00E7051F"/>
    <w:rsid w:val="00E75427"/>
    <w:rsid w:val="00E75D7F"/>
    <w:rsid w:val="00E76DB6"/>
    <w:rsid w:val="00E81E80"/>
    <w:rsid w:val="00E8572B"/>
    <w:rsid w:val="00E87836"/>
    <w:rsid w:val="00E87E45"/>
    <w:rsid w:val="00E900B9"/>
    <w:rsid w:val="00E954C7"/>
    <w:rsid w:val="00EA07F2"/>
    <w:rsid w:val="00EA34C5"/>
    <w:rsid w:val="00EB39DD"/>
    <w:rsid w:val="00EB5371"/>
    <w:rsid w:val="00EB5DED"/>
    <w:rsid w:val="00EB6136"/>
    <w:rsid w:val="00EC1230"/>
    <w:rsid w:val="00EC1520"/>
    <w:rsid w:val="00EC22BF"/>
    <w:rsid w:val="00EC41B1"/>
    <w:rsid w:val="00EC4697"/>
    <w:rsid w:val="00EC5983"/>
    <w:rsid w:val="00EC62F2"/>
    <w:rsid w:val="00EC6352"/>
    <w:rsid w:val="00EC726A"/>
    <w:rsid w:val="00ED2106"/>
    <w:rsid w:val="00ED29F8"/>
    <w:rsid w:val="00ED3E7C"/>
    <w:rsid w:val="00ED4229"/>
    <w:rsid w:val="00ED514D"/>
    <w:rsid w:val="00ED5358"/>
    <w:rsid w:val="00ED5BD3"/>
    <w:rsid w:val="00ED613F"/>
    <w:rsid w:val="00ED71ED"/>
    <w:rsid w:val="00ED7464"/>
    <w:rsid w:val="00ED7AEC"/>
    <w:rsid w:val="00EE1105"/>
    <w:rsid w:val="00EE1D88"/>
    <w:rsid w:val="00EE26CB"/>
    <w:rsid w:val="00EE2FD8"/>
    <w:rsid w:val="00EE4220"/>
    <w:rsid w:val="00EF32E5"/>
    <w:rsid w:val="00EF5B36"/>
    <w:rsid w:val="00F000E6"/>
    <w:rsid w:val="00F0798D"/>
    <w:rsid w:val="00F10E49"/>
    <w:rsid w:val="00F12EB9"/>
    <w:rsid w:val="00F13AC1"/>
    <w:rsid w:val="00F17607"/>
    <w:rsid w:val="00F207FB"/>
    <w:rsid w:val="00F26867"/>
    <w:rsid w:val="00F268D4"/>
    <w:rsid w:val="00F27975"/>
    <w:rsid w:val="00F301AD"/>
    <w:rsid w:val="00F30E29"/>
    <w:rsid w:val="00F31138"/>
    <w:rsid w:val="00F318F4"/>
    <w:rsid w:val="00F3294B"/>
    <w:rsid w:val="00F33C97"/>
    <w:rsid w:val="00F35C9B"/>
    <w:rsid w:val="00F37B4C"/>
    <w:rsid w:val="00F42C39"/>
    <w:rsid w:val="00F45315"/>
    <w:rsid w:val="00F502D2"/>
    <w:rsid w:val="00F526AC"/>
    <w:rsid w:val="00F53500"/>
    <w:rsid w:val="00F54642"/>
    <w:rsid w:val="00F5798A"/>
    <w:rsid w:val="00F60F18"/>
    <w:rsid w:val="00F622F7"/>
    <w:rsid w:val="00F640D9"/>
    <w:rsid w:val="00F6437B"/>
    <w:rsid w:val="00F64F08"/>
    <w:rsid w:val="00F65A25"/>
    <w:rsid w:val="00F70477"/>
    <w:rsid w:val="00F72F82"/>
    <w:rsid w:val="00F732B1"/>
    <w:rsid w:val="00F75104"/>
    <w:rsid w:val="00F76E71"/>
    <w:rsid w:val="00F80078"/>
    <w:rsid w:val="00F81B34"/>
    <w:rsid w:val="00F81D01"/>
    <w:rsid w:val="00F8579E"/>
    <w:rsid w:val="00F85884"/>
    <w:rsid w:val="00F85BE9"/>
    <w:rsid w:val="00F85DF6"/>
    <w:rsid w:val="00F8744D"/>
    <w:rsid w:val="00F96701"/>
    <w:rsid w:val="00F97AD1"/>
    <w:rsid w:val="00FA0A37"/>
    <w:rsid w:val="00FA223A"/>
    <w:rsid w:val="00FA66E2"/>
    <w:rsid w:val="00FB1924"/>
    <w:rsid w:val="00FB1BAA"/>
    <w:rsid w:val="00FB3697"/>
    <w:rsid w:val="00FB7706"/>
    <w:rsid w:val="00FC332A"/>
    <w:rsid w:val="00FC7D76"/>
    <w:rsid w:val="00FD2CCA"/>
    <w:rsid w:val="00FD3372"/>
    <w:rsid w:val="00FD4C74"/>
    <w:rsid w:val="00FD73EF"/>
    <w:rsid w:val="00FD76A9"/>
    <w:rsid w:val="00FE6786"/>
    <w:rsid w:val="00FE71CC"/>
    <w:rsid w:val="00FF1CC9"/>
    <w:rsid w:val="00FF2E77"/>
    <w:rsid w:val="00FF2FD4"/>
    <w:rsid w:val="00FF491E"/>
    <w:rsid w:val="00FF4D02"/>
    <w:rsid w:val="00FF52DD"/>
    <w:rsid w:val="00FF7DB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4403"/>
    <w:rPr>
      <w:lang w:eastAsia="en-US"/>
    </w:rPr>
  </w:style>
  <w:style w:type="paragraph" w:styleId="Nagwek1">
    <w:name w:val="heading 1"/>
    <w:basedOn w:val="Normalny"/>
    <w:next w:val="Normalny"/>
    <w:link w:val="Nagwek1Znak"/>
    <w:qFormat/>
    <w:locked/>
    <w:rsid w:val="00CD1D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locked/>
    <w:rsid w:val="00CD1D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locked/>
    <w:rsid w:val="00CD1DC0"/>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NONIKtreodnonika">
    <w:name w:val="ODNOŚNIK – treść odnośnika"/>
    <w:uiPriority w:val="99"/>
    <w:rsid w:val="001F4403"/>
    <w:pPr>
      <w:ind w:left="284" w:hanging="284"/>
      <w:jc w:val="both"/>
    </w:pPr>
    <w:rPr>
      <w:rFonts w:ascii="Times New Roman" w:eastAsia="Times New Roman" w:hAnsi="Times New Roman" w:cs="Arial"/>
      <w:sz w:val="20"/>
      <w:szCs w:val="20"/>
    </w:rPr>
  </w:style>
  <w:style w:type="paragraph" w:styleId="Nagwek">
    <w:name w:val="header"/>
    <w:basedOn w:val="Normalny"/>
    <w:link w:val="NagwekZnak"/>
    <w:uiPriority w:val="99"/>
    <w:rsid w:val="004054DE"/>
    <w:pPr>
      <w:tabs>
        <w:tab w:val="center" w:pos="4536"/>
        <w:tab w:val="right" w:pos="9072"/>
      </w:tabs>
    </w:pPr>
  </w:style>
  <w:style w:type="character" w:customStyle="1" w:styleId="NagwekZnak">
    <w:name w:val="Nagłówek Znak"/>
    <w:basedOn w:val="Domylnaczcionkaakapitu"/>
    <w:link w:val="Nagwek"/>
    <w:uiPriority w:val="99"/>
    <w:locked/>
    <w:rsid w:val="004054DE"/>
    <w:rPr>
      <w:rFonts w:cs="Times New Roman"/>
    </w:rPr>
  </w:style>
  <w:style w:type="paragraph" w:styleId="Stopka">
    <w:name w:val="footer"/>
    <w:basedOn w:val="Normalny"/>
    <w:link w:val="StopkaZnak"/>
    <w:uiPriority w:val="99"/>
    <w:rsid w:val="004054DE"/>
    <w:pPr>
      <w:tabs>
        <w:tab w:val="center" w:pos="4536"/>
        <w:tab w:val="right" w:pos="9072"/>
      </w:tabs>
    </w:pPr>
  </w:style>
  <w:style w:type="character" w:customStyle="1" w:styleId="StopkaZnak">
    <w:name w:val="Stopka Znak"/>
    <w:basedOn w:val="Domylnaczcionkaakapitu"/>
    <w:link w:val="Stopka"/>
    <w:uiPriority w:val="99"/>
    <w:locked/>
    <w:rsid w:val="004054DE"/>
    <w:rPr>
      <w:rFonts w:cs="Times New Roman"/>
    </w:rPr>
  </w:style>
  <w:style w:type="paragraph" w:styleId="Tekstdymka">
    <w:name w:val="Balloon Text"/>
    <w:basedOn w:val="Normalny"/>
    <w:link w:val="TekstdymkaZnak"/>
    <w:uiPriority w:val="99"/>
    <w:semiHidden/>
    <w:rsid w:val="004054DE"/>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054DE"/>
    <w:rPr>
      <w:rFonts w:ascii="Tahoma" w:hAnsi="Tahoma" w:cs="Tahoma"/>
      <w:sz w:val="16"/>
      <w:szCs w:val="16"/>
    </w:rPr>
  </w:style>
  <w:style w:type="table" w:styleId="Tabela-Siatka">
    <w:name w:val="Table Grid"/>
    <w:basedOn w:val="Standardowy"/>
    <w:uiPriority w:val="99"/>
    <w:rsid w:val="00E954C7"/>
    <w:pPr>
      <w:spacing w:before="200" w:after="200" w:line="276"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425AB3"/>
    <w:rPr>
      <w:sz w:val="24"/>
      <w:szCs w:val="24"/>
    </w:rPr>
  </w:style>
  <w:style w:type="character" w:customStyle="1" w:styleId="TekstprzypisukocowegoZnak">
    <w:name w:val="Tekst przypisu końcowego Znak"/>
    <w:basedOn w:val="Domylnaczcionkaakapitu"/>
    <w:link w:val="Tekstprzypisukocowego"/>
    <w:uiPriority w:val="99"/>
    <w:locked/>
    <w:rsid w:val="00425AB3"/>
    <w:rPr>
      <w:rFonts w:cs="Times New Roman"/>
      <w:sz w:val="24"/>
      <w:szCs w:val="24"/>
    </w:rPr>
  </w:style>
  <w:style w:type="character" w:styleId="Odwoanieprzypisukocowego">
    <w:name w:val="endnote reference"/>
    <w:basedOn w:val="Domylnaczcionkaakapitu"/>
    <w:uiPriority w:val="99"/>
    <w:rsid w:val="00425AB3"/>
    <w:rPr>
      <w:rFonts w:cs="Times New Roman"/>
      <w:vertAlign w:val="superscript"/>
    </w:rPr>
  </w:style>
  <w:style w:type="character" w:customStyle="1" w:styleId="IGindeksgrny">
    <w:name w:val="_IG_ – indeks górny"/>
    <w:basedOn w:val="Domylnaczcionkaakapitu"/>
    <w:uiPriority w:val="99"/>
    <w:rsid w:val="00A01FC2"/>
    <w:rPr>
      <w:rFonts w:cs="Times New Roman"/>
      <w:spacing w:val="0"/>
      <w:vertAlign w:val="superscript"/>
    </w:rPr>
  </w:style>
  <w:style w:type="paragraph" w:styleId="NormalnyWeb">
    <w:name w:val="Normal (Web)"/>
    <w:basedOn w:val="Normalny"/>
    <w:uiPriority w:val="99"/>
    <w:rsid w:val="008F6DD7"/>
    <w:pPr>
      <w:spacing w:before="100" w:beforeAutospacing="1" w:after="100" w:afterAutospacing="1"/>
    </w:pPr>
    <w:rPr>
      <w:rFonts w:ascii="Times" w:hAnsi="Times"/>
      <w:sz w:val="20"/>
      <w:szCs w:val="20"/>
      <w:lang w:eastAsia="pl-PL"/>
    </w:rPr>
  </w:style>
  <w:style w:type="character" w:styleId="Hipercze">
    <w:name w:val="Hyperlink"/>
    <w:basedOn w:val="Domylnaczcionkaakapitu"/>
    <w:uiPriority w:val="99"/>
    <w:semiHidden/>
    <w:rsid w:val="008F6DD7"/>
    <w:rPr>
      <w:rFonts w:cs="Times New Roman"/>
      <w:color w:val="0000FF"/>
      <w:u w:val="single"/>
    </w:rPr>
  </w:style>
  <w:style w:type="character" w:customStyle="1" w:styleId="Nagwek1Znak">
    <w:name w:val="Nagłówek 1 Znak"/>
    <w:basedOn w:val="Domylnaczcionkaakapitu"/>
    <w:link w:val="Nagwek1"/>
    <w:rsid w:val="00CD1DC0"/>
    <w:rPr>
      <w:rFonts w:asciiTheme="majorHAnsi" w:eastAsiaTheme="majorEastAsia" w:hAnsiTheme="majorHAnsi" w:cstheme="majorBidi"/>
      <w:b/>
      <w:bCs/>
      <w:color w:val="365F91" w:themeColor="accent1" w:themeShade="BF"/>
      <w:sz w:val="28"/>
      <w:szCs w:val="28"/>
      <w:lang w:eastAsia="en-US"/>
    </w:rPr>
  </w:style>
  <w:style w:type="character" w:customStyle="1" w:styleId="Nagwek2Znak">
    <w:name w:val="Nagłówek 2 Znak"/>
    <w:basedOn w:val="Domylnaczcionkaakapitu"/>
    <w:link w:val="Nagwek2"/>
    <w:rsid w:val="00CD1DC0"/>
    <w:rPr>
      <w:rFonts w:asciiTheme="majorHAnsi" w:eastAsiaTheme="majorEastAsia" w:hAnsiTheme="majorHAnsi" w:cstheme="majorBidi"/>
      <w:b/>
      <w:bCs/>
      <w:color w:val="4F81BD" w:themeColor="accent1"/>
      <w:sz w:val="26"/>
      <w:szCs w:val="26"/>
      <w:lang w:eastAsia="en-US"/>
    </w:rPr>
  </w:style>
  <w:style w:type="paragraph" w:styleId="Podtytu">
    <w:name w:val="Subtitle"/>
    <w:basedOn w:val="Normalny"/>
    <w:next w:val="Normalny"/>
    <w:link w:val="PodtytuZnak"/>
    <w:qFormat/>
    <w:locked/>
    <w:rsid w:val="00CD1D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CD1DC0"/>
    <w:rPr>
      <w:rFonts w:asciiTheme="majorHAnsi" w:eastAsiaTheme="majorEastAsia" w:hAnsiTheme="majorHAnsi" w:cstheme="majorBidi"/>
      <w:i/>
      <w:iCs/>
      <w:color w:val="4F81BD" w:themeColor="accent1"/>
      <w:spacing w:val="15"/>
      <w:sz w:val="24"/>
      <w:szCs w:val="24"/>
      <w:lang w:eastAsia="en-US"/>
    </w:rPr>
  </w:style>
  <w:style w:type="character" w:styleId="Pogrubienie">
    <w:name w:val="Strong"/>
    <w:basedOn w:val="Domylnaczcionkaakapitu"/>
    <w:qFormat/>
    <w:locked/>
    <w:rsid w:val="00CD1DC0"/>
    <w:rPr>
      <w:b/>
      <w:bCs/>
    </w:rPr>
  </w:style>
  <w:style w:type="character" w:customStyle="1" w:styleId="Nagwek3Znak">
    <w:name w:val="Nagłówek 3 Znak"/>
    <w:basedOn w:val="Domylnaczcionkaakapitu"/>
    <w:link w:val="Nagwek3"/>
    <w:rsid w:val="00CD1DC0"/>
    <w:rPr>
      <w:rFonts w:asciiTheme="majorHAnsi" w:eastAsiaTheme="majorEastAsia" w:hAnsiTheme="majorHAnsi" w:cstheme="majorBidi"/>
      <w:b/>
      <w:b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4403"/>
    <w:rPr>
      <w:lang w:eastAsia="en-US"/>
    </w:rPr>
  </w:style>
  <w:style w:type="paragraph" w:styleId="Nagwek1">
    <w:name w:val="heading 1"/>
    <w:basedOn w:val="Normalny"/>
    <w:next w:val="Normalny"/>
    <w:link w:val="Nagwek1Znak"/>
    <w:qFormat/>
    <w:locked/>
    <w:rsid w:val="00CD1D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locked/>
    <w:rsid w:val="00CD1D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locked/>
    <w:rsid w:val="00CD1DC0"/>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DNONIKtreodnonika">
    <w:name w:val="ODNOŚNIK – treść odnośnika"/>
    <w:uiPriority w:val="99"/>
    <w:rsid w:val="001F4403"/>
    <w:pPr>
      <w:ind w:left="284" w:hanging="284"/>
      <w:jc w:val="both"/>
    </w:pPr>
    <w:rPr>
      <w:rFonts w:ascii="Times New Roman" w:eastAsia="Times New Roman" w:hAnsi="Times New Roman" w:cs="Arial"/>
      <w:sz w:val="20"/>
      <w:szCs w:val="20"/>
    </w:rPr>
  </w:style>
  <w:style w:type="paragraph" w:styleId="Nagwek">
    <w:name w:val="header"/>
    <w:basedOn w:val="Normalny"/>
    <w:link w:val="NagwekZnak"/>
    <w:uiPriority w:val="99"/>
    <w:rsid w:val="004054DE"/>
    <w:pPr>
      <w:tabs>
        <w:tab w:val="center" w:pos="4536"/>
        <w:tab w:val="right" w:pos="9072"/>
      </w:tabs>
    </w:pPr>
  </w:style>
  <w:style w:type="character" w:customStyle="1" w:styleId="NagwekZnak">
    <w:name w:val="Nagłówek Znak"/>
    <w:basedOn w:val="Domylnaczcionkaakapitu"/>
    <w:link w:val="Nagwek"/>
    <w:uiPriority w:val="99"/>
    <w:locked/>
    <w:rsid w:val="004054DE"/>
    <w:rPr>
      <w:rFonts w:cs="Times New Roman"/>
    </w:rPr>
  </w:style>
  <w:style w:type="paragraph" w:styleId="Stopka">
    <w:name w:val="footer"/>
    <w:basedOn w:val="Normalny"/>
    <w:link w:val="StopkaZnak"/>
    <w:uiPriority w:val="99"/>
    <w:rsid w:val="004054DE"/>
    <w:pPr>
      <w:tabs>
        <w:tab w:val="center" w:pos="4536"/>
        <w:tab w:val="right" w:pos="9072"/>
      </w:tabs>
    </w:pPr>
  </w:style>
  <w:style w:type="character" w:customStyle="1" w:styleId="StopkaZnak">
    <w:name w:val="Stopka Znak"/>
    <w:basedOn w:val="Domylnaczcionkaakapitu"/>
    <w:link w:val="Stopka"/>
    <w:uiPriority w:val="99"/>
    <w:locked/>
    <w:rsid w:val="004054DE"/>
    <w:rPr>
      <w:rFonts w:cs="Times New Roman"/>
    </w:rPr>
  </w:style>
  <w:style w:type="paragraph" w:styleId="Tekstdymka">
    <w:name w:val="Balloon Text"/>
    <w:basedOn w:val="Normalny"/>
    <w:link w:val="TekstdymkaZnak"/>
    <w:uiPriority w:val="99"/>
    <w:semiHidden/>
    <w:rsid w:val="004054DE"/>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054DE"/>
    <w:rPr>
      <w:rFonts w:ascii="Tahoma" w:hAnsi="Tahoma" w:cs="Tahoma"/>
      <w:sz w:val="16"/>
      <w:szCs w:val="16"/>
    </w:rPr>
  </w:style>
  <w:style w:type="table" w:styleId="Tabela-Siatka">
    <w:name w:val="Table Grid"/>
    <w:basedOn w:val="Standardowy"/>
    <w:uiPriority w:val="99"/>
    <w:rsid w:val="00E954C7"/>
    <w:pPr>
      <w:spacing w:before="200" w:after="200" w:line="276"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425AB3"/>
    <w:rPr>
      <w:sz w:val="24"/>
      <w:szCs w:val="24"/>
    </w:rPr>
  </w:style>
  <w:style w:type="character" w:customStyle="1" w:styleId="TekstprzypisukocowegoZnak">
    <w:name w:val="Tekst przypisu końcowego Znak"/>
    <w:basedOn w:val="Domylnaczcionkaakapitu"/>
    <w:link w:val="Tekstprzypisukocowego"/>
    <w:uiPriority w:val="99"/>
    <w:locked/>
    <w:rsid w:val="00425AB3"/>
    <w:rPr>
      <w:rFonts w:cs="Times New Roman"/>
      <w:sz w:val="24"/>
      <w:szCs w:val="24"/>
    </w:rPr>
  </w:style>
  <w:style w:type="character" w:styleId="Odwoanieprzypisukocowego">
    <w:name w:val="endnote reference"/>
    <w:basedOn w:val="Domylnaczcionkaakapitu"/>
    <w:uiPriority w:val="99"/>
    <w:rsid w:val="00425AB3"/>
    <w:rPr>
      <w:rFonts w:cs="Times New Roman"/>
      <w:vertAlign w:val="superscript"/>
    </w:rPr>
  </w:style>
  <w:style w:type="character" w:customStyle="1" w:styleId="IGindeksgrny">
    <w:name w:val="_IG_ – indeks górny"/>
    <w:basedOn w:val="Domylnaczcionkaakapitu"/>
    <w:uiPriority w:val="99"/>
    <w:rsid w:val="00A01FC2"/>
    <w:rPr>
      <w:rFonts w:cs="Times New Roman"/>
      <w:spacing w:val="0"/>
      <w:vertAlign w:val="superscript"/>
    </w:rPr>
  </w:style>
  <w:style w:type="paragraph" w:styleId="NormalnyWeb">
    <w:name w:val="Normal (Web)"/>
    <w:basedOn w:val="Normalny"/>
    <w:uiPriority w:val="99"/>
    <w:rsid w:val="008F6DD7"/>
    <w:pPr>
      <w:spacing w:before="100" w:beforeAutospacing="1" w:after="100" w:afterAutospacing="1"/>
    </w:pPr>
    <w:rPr>
      <w:rFonts w:ascii="Times" w:hAnsi="Times"/>
      <w:sz w:val="20"/>
      <w:szCs w:val="20"/>
      <w:lang w:eastAsia="pl-PL"/>
    </w:rPr>
  </w:style>
  <w:style w:type="character" w:styleId="Hipercze">
    <w:name w:val="Hyperlink"/>
    <w:basedOn w:val="Domylnaczcionkaakapitu"/>
    <w:uiPriority w:val="99"/>
    <w:semiHidden/>
    <w:rsid w:val="008F6DD7"/>
    <w:rPr>
      <w:rFonts w:cs="Times New Roman"/>
      <w:color w:val="0000FF"/>
      <w:u w:val="single"/>
    </w:rPr>
  </w:style>
  <w:style w:type="character" w:customStyle="1" w:styleId="Nagwek1Znak">
    <w:name w:val="Nagłówek 1 Znak"/>
    <w:basedOn w:val="Domylnaczcionkaakapitu"/>
    <w:link w:val="Nagwek1"/>
    <w:rsid w:val="00CD1DC0"/>
    <w:rPr>
      <w:rFonts w:asciiTheme="majorHAnsi" w:eastAsiaTheme="majorEastAsia" w:hAnsiTheme="majorHAnsi" w:cstheme="majorBidi"/>
      <w:b/>
      <w:bCs/>
      <w:color w:val="365F91" w:themeColor="accent1" w:themeShade="BF"/>
      <w:sz w:val="28"/>
      <w:szCs w:val="28"/>
      <w:lang w:eastAsia="en-US"/>
    </w:rPr>
  </w:style>
  <w:style w:type="character" w:customStyle="1" w:styleId="Nagwek2Znak">
    <w:name w:val="Nagłówek 2 Znak"/>
    <w:basedOn w:val="Domylnaczcionkaakapitu"/>
    <w:link w:val="Nagwek2"/>
    <w:rsid w:val="00CD1DC0"/>
    <w:rPr>
      <w:rFonts w:asciiTheme="majorHAnsi" w:eastAsiaTheme="majorEastAsia" w:hAnsiTheme="majorHAnsi" w:cstheme="majorBidi"/>
      <w:b/>
      <w:bCs/>
      <w:color w:val="4F81BD" w:themeColor="accent1"/>
      <w:sz w:val="26"/>
      <w:szCs w:val="26"/>
      <w:lang w:eastAsia="en-US"/>
    </w:rPr>
  </w:style>
  <w:style w:type="paragraph" w:styleId="Podtytu">
    <w:name w:val="Subtitle"/>
    <w:basedOn w:val="Normalny"/>
    <w:next w:val="Normalny"/>
    <w:link w:val="PodtytuZnak"/>
    <w:qFormat/>
    <w:locked/>
    <w:rsid w:val="00CD1D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CD1DC0"/>
    <w:rPr>
      <w:rFonts w:asciiTheme="majorHAnsi" w:eastAsiaTheme="majorEastAsia" w:hAnsiTheme="majorHAnsi" w:cstheme="majorBidi"/>
      <w:i/>
      <w:iCs/>
      <w:color w:val="4F81BD" w:themeColor="accent1"/>
      <w:spacing w:val="15"/>
      <w:sz w:val="24"/>
      <w:szCs w:val="24"/>
      <w:lang w:eastAsia="en-US"/>
    </w:rPr>
  </w:style>
  <w:style w:type="character" w:styleId="Pogrubienie">
    <w:name w:val="Strong"/>
    <w:basedOn w:val="Domylnaczcionkaakapitu"/>
    <w:qFormat/>
    <w:locked/>
    <w:rsid w:val="00CD1DC0"/>
    <w:rPr>
      <w:b/>
      <w:bCs/>
    </w:rPr>
  </w:style>
  <w:style w:type="character" w:customStyle="1" w:styleId="Nagwek3Znak">
    <w:name w:val="Nagłówek 3 Znak"/>
    <w:basedOn w:val="Domylnaczcionkaakapitu"/>
    <w:link w:val="Nagwek3"/>
    <w:rsid w:val="00CD1DC0"/>
    <w:rPr>
      <w:rFonts w:asciiTheme="majorHAnsi" w:eastAsiaTheme="majorEastAsia" w:hAnsiTheme="majorHAnsi" w:cstheme="majorBidi"/>
      <w:b/>
      <w:b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4133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B4DF3B6-F7A3-4776-B3C5-917953EE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20</Pages>
  <Words>9652</Words>
  <Characters>57918</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Zestawienie uwag -  UZGODNIENIA MIĘDZYRESORTOWE</vt:lpstr>
    </vt:vector>
  </TitlesOfParts>
  <Company>MS</Company>
  <LinksUpToDate>false</LinksUpToDate>
  <CharactersWithSpaces>67436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Zestawienie uwag -  UZGODNIENIA MIĘDZYRESORTOWE</dc:title>
  <dc:creator>Dąbrowska Magdalena</dc:creator>
  <cp:lastModifiedBy>Ryng Andrzej  (DL)</cp:lastModifiedBy>
  <cp:revision>12</cp:revision>
  <cp:lastPrinted>2018-01-18T12:01:00Z</cp:lastPrinted>
  <dcterms:created xsi:type="dcterms:W3CDTF">2018-01-04T11:36:00Z</dcterms:created>
  <dcterms:modified xsi:type="dcterms:W3CDTF">2018-02-05T15:52:00Z</dcterms:modified>
</cp:coreProperties>
</file>